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D1" w:rsidRPr="00E31425" w:rsidRDefault="003223D1" w:rsidP="003223D1">
      <w:pPr>
        <w:pStyle w:val="Title"/>
        <w:rPr>
          <w:b/>
          <w:sz w:val="32"/>
          <w:szCs w:val="32"/>
          <w:lang w:val="en-AU"/>
        </w:rPr>
      </w:pPr>
      <w:r w:rsidRPr="00E31425">
        <w:rPr>
          <w:b/>
          <w:sz w:val="32"/>
          <w:szCs w:val="32"/>
          <w:lang w:val="en-AU"/>
        </w:rPr>
        <w:t>Global Challenges and Opportunities: the Australian Experience</w:t>
      </w:r>
    </w:p>
    <w:p w:rsidR="003223D1" w:rsidRPr="003223D1" w:rsidRDefault="003223D1" w:rsidP="003223D1">
      <w:pPr>
        <w:pStyle w:val="Subtitle"/>
        <w:rPr>
          <w:lang w:val="en-AU"/>
        </w:rPr>
      </w:pPr>
      <w:r>
        <w:rPr>
          <w:lang w:val="en-AU"/>
        </w:rPr>
        <w:t>David Weisbrot &amp; Lisa Eckstein</w:t>
      </w:r>
    </w:p>
    <w:p w:rsidR="008224D7" w:rsidRDefault="008224D7" w:rsidP="004B7CC3">
      <w:pPr>
        <w:pStyle w:val="Heading1"/>
      </w:pPr>
      <w:r>
        <w:t>Introduction</w:t>
      </w:r>
    </w:p>
    <w:p w:rsidR="00552736" w:rsidRDefault="00686984">
      <w:pPr>
        <w:rPr>
          <w:bCs/>
        </w:rPr>
      </w:pPr>
      <w:r>
        <w:rPr>
          <w:bCs/>
        </w:rPr>
        <w:t>Australia has a population of about 22 million,</w:t>
      </w:r>
      <w:r w:rsidR="006F307F">
        <w:rPr>
          <w:bCs/>
        </w:rPr>
        <w:t xml:space="preserve"> mainly</w:t>
      </w:r>
      <w:r>
        <w:rPr>
          <w:bCs/>
        </w:rPr>
        <w:t xml:space="preserve"> </w:t>
      </w:r>
      <w:r w:rsidR="006F307F">
        <w:rPr>
          <w:bCs/>
        </w:rPr>
        <w:t xml:space="preserve">concentrated in the coastal capital cities and regional centre on a large (and largely dry and inhospitable) continent.  Australia has a federal system of political organization, with six states, two territories and an overarching Commonwealth government—and a great deal of resulting complexity.  For example, each of those nine political entities has a Privacy Act, and three of them also have dedicated health privacy legislation.  Australia has a comprehensive, national healthcare system, which includes medical care and pharmaceuticals, and is federally funded—although the operation of hospitals, and thus a considerable portion of service delivery, is a state and territory responsibility.  </w:t>
      </w:r>
    </w:p>
    <w:p w:rsidR="00686984" w:rsidRDefault="00552736">
      <w:pPr>
        <w:rPr>
          <w:bCs/>
        </w:rPr>
      </w:pPr>
      <w:r>
        <w:rPr>
          <w:bCs/>
        </w:rPr>
        <w:t xml:space="preserve">Given the nature of the comprehensive public healthcare system, private health insurance is not the point of contention and hotspot that it is in the United States.  Private health insurance </w:t>
      </w:r>
      <w:r w:rsidRPr="00552736">
        <w:rPr>
          <w:bCs/>
          <w:i/>
        </w:rPr>
        <w:t xml:space="preserve">is </w:t>
      </w:r>
      <w:r>
        <w:rPr>
          <w:bCs/>
        </w:rPr>
        <w:t>available in Australia—and, indeed, is strongly encouraged by ‘carrot and stick’ Government policies</w:t>
      </w:r>
      <w:r>
        <w:rPr>
          <w:rStyle w:val="FootnoteReference"/>
          <w:bCs/>
        </w:rPr>
        <w:footnoteReference w:id="1"/>
      </w:r>
      <w:r>
        <w:rPr>
          <w:bCs/>
        </w:rPr>
        <w:t xml:space="preserve">—but it community-rated (rather than individually risk-rated).  Thus, an individual can choose from a menu of cascading choices (for example, deciding whether to include physiotherapy and gym membership, or a private hospital room), but the cost of each option is the same whether the person is old or young, super-fit or chronically ill.  </w:t>
      </w:r>
    </w:p>
    <w:p w:rsidR="00BE0FB2" w:rsidRDefault="00C43E05">
      <w:pPr>
        <w:rPr>
          <w:bCs/>
        </w:rPr>
      </w:pPr>
      <w:r>
        <w:rPr>
          <w:bCs/>
        </w:rPr>
        <w:t xml:space="preserve">In </w:t>
      </w:r>
      <w:r w:rsidR="00813C52">
        <w:rPr>
          <w:bCs/>
        </w:rPr>
        <w:t>the past</w:t>
      </w:r>
      <w:r w:rsidR="00AC6D92">
        <w:rPr>
          <w:bCs/>
        </w:rPr>
        <w:t xml:space="preserve"> decade</w:t>
      </w:r>
      <w:r>
        <w:rPr>
          <w:bCs/>
        </w:rPr>
        <w:t>, Australia has made</w:t>
      </w:r>
      <w:r w:rsidR="00AC6D92">
        <w:rPr>
          <w:bCs/>
        </w:rPr>
        <w:t xml:space="preserve"> significant advances in </w:t>
      </w:r>
      <w:r>
        <w:rPr>
          <w:bCs/>
        </w:rPr>
        <w:t>regulating</w:t>
      </w:r>
      <w:r w:rsidR="00AC6D92">
        <w:rPr>
          <w:bCs/>
        </w:rPr>
        <w:t xml:space="preserve"> human genetic technologies, including the establishment of a Human Genetics Advisory Committee, reform of privacy and anti-discrimination laws, and—most recently—moves by the Therapeutics Goods Administration (TGA) to regulate direct-to-consumer (DTC) genetic testing. </w:t>
      </w:r>
      <w:r w:rsidR="00343732">
        <w:rPr>
          <w:bCs/>
        </w:rPr>
        <w:t xml:space="preserve"> </w:t>
      </w:r>
      <w:r w:rsidR="00BE0FB2">
        <w:rPr>
          <w:bCs/>
        </w:rPr>
        <w:t>Currently, public and political attention is focused on</w:t>
      </w:r>
      <w:r w:rsidR="00AC6D92">
        <w:rPr>
          <w:bCs/>
        </w:rPr>
        <w:t xml:space="preserve"> the validity of gene patents</w:t>
      </w:r>
      <w:r w:rsidR="006538EB">
        <w:rPr>
          <w:bCs/>
        </w:rPr>
        <w:t xml:space="preserve">—including a Bill currently before Parliament, a case pending before the Federal Court and </w:t>
      </w:r>
      <w:r w:rsidR="00BE0FB2">
        <w:rPr>
          <w:bCs/>
        </w:rPr>
        <w:t>a slew of</w:t>
      </w:r>
      <w:r w:rsidR="006538EB">
        <w:rPr>
          <w:bCs/>
        </w:rPr>
        <w:t xml:space="preserve"> independent reports to which the government is yet to respond</w:t>
      </w:r>
      <w:r w:rsidR="00BE0FB2">
        <w:rPr>
          <w:bCs/>
        </w:rPr>
        <w:t>.</w:t>
      </w:r>
      <w:r w:rsidR="00343732">
        <w:rPr>
          <w:bCs/>
        </w:rPr>
        <w:t xml:space="preserve"> </w:t>
      </w:r>
      <w:r w:rsidR="00BE0FB2">
        <w:rPr>
          <w:bCs/>
        </w:rPr>
        <w:t xml:space="preserve"> </w:t>
      </w:r>
      <w:r w:rsidR="00813C52">
        <w:rPr>
          <w:bCs/>
        </w:rPr>
        <w:t>Integral to these reforms are two major inquiries undertaken by the Australian Law Reform Commission (ALRC)—a</w:t>
      </w:r>
      <w:r w:rsidR="00343732">
        <w:rPr>
          <w:bCs/>
        </w:rPr>
        <w:t>n</w:t>
      </w:r>
      <w:r w:rsidR="00813C52">
        <w:rPr>
          <w:bCs/>
        </w:rPr>
        <w:t xml:space="preserve"> inquiry on the protection of human genetic information </w:t>
      </w:r>
      <w:r w:rsidR="00343732">
        <w:rPr>
          <w:bCs/>
        </w:rPr>
        <w:t xml:space="preserve">(which reported in 2003) </w:t>
      </w:r>
      <w:r w:rsidR="00813C52">
        <w:rPr>
          <w:bCs/>
        </w:rPr>
        <w:t>and a</w:t>
      </w:r>
      <w:r w:rsidR="00343732">
        <w:rPr>
          <w:bCs/>
        </w:rPr>
        <w:t xml:space="preserve"> 2004</w:t>
      </w:r>
      <w:r w:rsidR="00813C52">
        <w:rPr>
          <w:bCs/>
        </w:rPr>
        <w:t xml:space="preserve"> inquiry </w:t>
      </w:r>
      <w:r w:rsidR="00343732">
        <w:rPr>
          <w:bCs/>
        </w:rPr>
        <w:t>into</w:t>
      </w:r>
      <w:r w:rsidR="00813C52">
        <w:rPr>
          <w:bCs/>
        </w:rPr>
        <w:t xml:space="preserve"> gene patents</w:t>
      </w:r>
      <w:r w:rsidR="00343732">
        <w:rPr>
          <w:bCs/>
        </w:rPr>
        <w:t xml:space="preserve"> and human health.  </w:t>
      </w:r>
      <w:r w:rsidR="00BE0FB2">
        <w:rPr>
          <w:bCs/>
        </w:rPr>
        <w:t>I</w:t>
      </w:r>
      <w:r w:rsidR="00011E0E">
        <w:rPr>
          <w:bCs/>
        </w:rPr>
        <w:t xml:space="preserve">ssues </w:t>
      </w:r>
      <w:r w:rsidR="00BE0FB2">
        <w:rPr>
          <w:bCs/>
        </w:rPr>
        <w:t>for the future are likely to include</w:t>
      </w:r>
      <w:r w:rsidR="00011E0E">
        <w:rPr>
          <w:bCs/>
        </w:rPr>
        <w:t xml:space="preserve"> the concerns of Indigenous Australians </w:t>
      </w:r>
      <w:r w:rsidR="00BE0FB2">
        <w:rPr>
          <w:bCs/>
        </w:rPr>
        <w:t>(</w:t>
      </w:r>
      <w:proofErr w:type="spellStart"/>
      <w:r w:rsidR="00BE0FB2">
        <w:rPr>
          <w:bCs/>
        </w:rPr>
        <w:t>eg</w:t>
      </w:r>
      <w:proofErr w:type="spellEnd"/>
      <w:r w:rsidR="00BE0FB2">
        <w:rPr>
          <w:bCs/>
        </w:rPr>
        <w:t xml:space="preserve">, </w:t>
      </w:r>
      <w:r w:rsidR="00011E0E">
        <w:rPr>
          <w:bCs/>
        </w:rPr>
        <w:t xml:space="preserve">about </w:t>
      </w:r>
      <w:proofErr w:type="spellStart"/>
      <w:r w:rsidR="00011E0E">
        <w:rPr>
          <w:bCs/>
        </w:rPr>
        <w:t>biopiracy</w:t>
      </w:r>
      <w:proofErr w:type="spellEnd"/>
      <w:r w:rsidR="00D53A75">
        <w:rPr>
          <w:bCs/>
        </w:rPr>
        <w:t xml:space="preserve"> and equitable benefit sharing</w:t>
      </w:r>
      <w:r w:rsidR="00BE0FB2">
        <w:rPr>
          <w:bCs/>
        </w:rPr>
        <w:t>) and strategies for international cooperation and harmoni</w:t>
      </w:r>
      <w:r w:rsidR="00D53A75">
        <w:rPr>
          <w:bCs/>
        </w:rPr>
        <w:t>z</w:t>
      </w:r>
      <w:r w:rsidR="00BE0FB2">
        <w:rPr>
          <w:bCs/>
        </w:rPr>
        <w:t>ation</w:t>
      </w:r>
      <w:r w:rsidR="00681565">
        <w:rPr>
          <w:bCs/>
        </w:rPr>
        <w:t xml:space="preserve">. </w:t>
      </w:r>
    </w:p>
    <w:p w:rsidR="00F42183" w:rsidRDefault="00F42183" w:rsidP="004B7CC3">
      <w:pPr>
        <w:pStyle w:val="Heading1"/>
      </w:pPr>
      <w:r w:rsidRPr="00F42183">
        <w:t>ALRC-AHEC inquiry: the protection of human genetic information</w:t>
      </w:r>
    </w:p>
    <w:p w:rsidR="007770C4" w:rsidRPr="007770C4" w:rsidRDefault="00D81457" w:rsidP="007770C4">
      <w:pPr>
        <w:pStyle w:val="Heading2"/>
      </w:pPr>
      <w:r>
        <w:t>Background to</w:t>
      </w:r>
      <w:r w:rsidR="007770C4">
        <w:t xml:space="preserve"> the Inquiry</w:t>
      </w:r>
    </w:p>
    <w:p w:rsidR="00BF3066" w:rsidRPr="00F42183" w:rsidRDefault="004E79A0" w:rsidP="00D81457">
      <w:pPr>
        <w:spacing w:after="120"/>
        <w:rPr>
          <w:lang w:val="en-AU"/>
        </w:rPr>
      </w:pPr>
      <w:r>
        <w:rPr>
          <w:bCs/>
        </w:rPr>
        <w:t>T</w:t>
      </w:r>
      <w:r w:rsidRPr="002F74C3">
        <w:rPr>
          <w:bCs/>
        </w:rPr>
        <w:t xml:space="preserve">he Australian Law Reform Commission (ALRC) </w:t>
      </w:r>
      <w:r>
        <w:rPr>
          <w:bCs/>
        </w:rPr>
        <w:t xml:space="preserve">was established </w:t>
      </w:r>
      <w:r w:rsidRPr="002F74C3">
        <w:rPr>
          <w:bCs/>
        </w:rPr>
        <w:t>in 1973</w:t>
      </w:r>
      <w:r>
        <w:rPr>
          <w:bCs/>
        </w:rPr>
        <w:t>, as an independent statutory authority tasked with reviewing</w:t>
      </w:r>
      <w:r w:rsidRPr="004B7CC3">
        <w:rPr>
          <w:bCs/>
        </w:rPr>
        <w:t xml:space="preserve"> Commonwealth laws</w:t>
      </w:r>
      <w:r w:rsidR="00343732">
        <w:rPr>
          <w:bCs/>
        </w:rPr>
        <w:t>, policies</w:t>
      </w:r>
      <w:r>
        <w:rPr>
          <w:bCs/>
        </w:rPr>
        <w:t xml:space="preserve"> </w:t>
      </w:r>
      <w:r w:rsidR="00343732">
        <w:rPr>
          <w:bCs/>
        </w:rPr>
        <w:t xml:space="preserve">and practices </w:t>
      </w:r>
      <w:r>
        <w:rPr>
          <w:bCs/>
        </w:rPr>
        <w:t xml:space="preserve">referred to it by the </w:t>
      </w:r>
      <w:r w:rsidR="00343732">
        <w:rPr>
          <w:bCs/>
        </w:rPr>
        <w:lastRenderedPageBreak/>
        <w:t xml:space="preserve">federal </w:t>
      </w:r>
      <w:r>
        <w:rPr>
          <w:bCs/>
        </w:rPr>
        <w:t xml:space="preserve">Attorney-General. </w:t>
      </w:r>
      <w:r w:rsidR="00343732">
        <w:rPr>
          <w:bCs/>
        </w:rPr>
        <w:t xml:space="preserve"> </w:t>
      </w:r>
      <w:r>
        <w:rPr>
          <w:bCs/>
        </w:rPr>
        <w:t xml:space="preserve">In performing its functions, the ALRC </w:t>
      </w:r>
      <w:r w:rsidR="00D81457">
        <w:rPr>
          <w:bCs/>
        </w:rPr>
        <w:t>must</w:t>
      </w:r>
      <w:r>
        <w:rPr>
          <w:bCs/>
        </w:rPr>
        <w:t xml:space="preserve"> have regard to </w:t>
      </w:r>
      <w:r w:rsidR="00D81457">
        <w:rPr>
          <w:bCs/>
        </w:rPr>
        <w:t xml:space="preserve">upholding </w:t>
      </w:r>
      <w:r w:rsidRPr="007A5B6E">
        <w:rPr>
          <w:bCs/>
        </w:rPr>
        <w:t>personal rights and liberties</w:t>
      </w:r>
      <w:r w:rsidR="00D81457">
        <w:rPr>
          <w:bCs/>
        </w:rPr>
        <w:t>,</w:t>
      </w:r>
      <w:r>
        <w:rPr>
          <w:bCs/>
        </w:rPr>
        <w:t xml:space="preserve"> and </w:t>
      </w:r>
      <w:r w:rsidR="00D81457">
        <w:rPr>
          <w:bCs/>
        </w:rPr>
        <w:t xml:space="preserve">promoting </w:t>
      </w:r>
      <w:r>
        <w:rPr>
          <w:bCs/>
        </w:rPr>
        <w:t>consistency</w:t>
      </w:r>
      <w:r w:rsidRPr="007A5B6E">
        <w:rPr>
          <w:bCs/>
        </w:rPr>
        <w:t xml:space="preserve"> </w:t>
      </w:r>
      <w:r>
        <w:rPr>
          <w:bCs/>
        </w:rPr>
        <w:t xml:space="preserve">with the International Covenant </w:t>
      </w:r>
      <w:r w:rsidRPr="007A5B6E">
        <w:rPr>
          <w:bCs/>
        </w:rPr>
        <w:t>on Civil and Political Rights</w:t>
      </w:r>
      <w:r>
        <w:rPr>
          <w:bCs/>
        </w:rPr>
        <w:t xml:space="preserve">. In essence, </w:t>
      </w:r>
      <w:r w:rsidR="00D81457">
        <w:rPr>
          <w:bCs/>
        </w:rPr>
        <w:t>the ALRC</w:t>
      </w:r>
      <w:r>
        <w:rPr>
          <w:bCs/>
        </w:rPr>
        <w:t xml:space="preserve"> operates as Australia’s </w:t>
      </w:r>
      <w:r w:rsidR="00343732">
        <w:rPr>
          <w:bCs/>
        </w:rPr>
        <w:t xml:space="preserve">national </w:t>
      </w:r>
      <w:r w:rsidR="00377BB1">
        <w:rPr>
          <w:bCs/>
        </w:rPr>
        <w:t>‘</w:t>
      </w:r>
      <w:r>
        <w:rPr>
          <w:bCs/>
        </w:rPr>
        <w:t>legal think tank</w:t>
      </w:r>
      <w:r w:rsidR="00377BB1">
        <w:rPr>
          <w:bCs/>
        </w:rPr>
        <w:t>’</w:t>
      </w:r>
      <w:r w:rsidR="00343732">
        <w:rPr>
          <w:bCs/>
        </w:rPr>
        <w:t xml:space="preserve"> on important socio-legal issues</w:t>
      </w:r>
      <w:r>
        <w:rPr>
          <w:bCs/>
        </w:rPr>
        <w:t>.</w:t>
      </w:r>
      <w:r w:rsidR="00D81457">
        <w:rPr>
          <w:bCs/>
        </w:rPr>
        <w:t xml:space="preserve"> </w:t>
      </w:r>
      <w:r w:rsidR="00343732">
        <w:rPr>
          <w:bCs/>
        </w:rPr>
        <w:t xml:space="preserve"> </w:t>
      </w:r>
      <w:r w:rsidR="00BF3066">
        <w:t>From its earliest days, the ALRC entrenched the active engagement of the community as part and parcel of i</w:t>
      </w:r>
      <w:r w:rsidR="00F94B02">
        <w:t>ts basic approach to law reform.</w:t>
      </w:r>
      <w:r w:rsidR="00BF3066">
        <w:t xml:space="preserve"> </w:t>
      </w:r>
      <w:r w:rsidR="00343732">
        <w:t xml:space="preserve"> </w:t>
      </w:r>
      <w:r w:rsidR="00BF3066">
        <w:t xml:space="preserve">The ALRC committed itself to ensuring, as a matter of basic philosophy, that </w:t>
      </w:r>
      <w:r w:rsidR="00BF3066" w:rsidRPr="004761E0">
        <w:t>‘law reform should be conducted in a transparent way with opportunities for widespread public consultation</w:t>
      </w:r>
      <w:r w:rsidR="00BF3066">
        <w:t>’</w:t>
      </w:r>
      <w:r w:rsidR="00343732">
        <w:t>.</w:t>
      </w:r>
      <w:r w:rsidR="00BF3066">
        <w:rPr>
          <w:rStyle w:val="FootnoteReference"/>
        </w:rPr>
        <w:footnoteReference w:id="2"/>
      </w:r>
      <w:r w:rsidR="00343732">
        <w:t xml:space="preserve">  Indeed, its underlying ethos over 35 years has been that ‘law reform is much too important to be left to the experts’.</w:t>
      </w:r>
      <w:r w:rsidR="00343732">
        <w:rPr>
          <w:rStyle w:val="FootnoteReference"/>
        </w:rPr>
        <w:footnoteReference w:id="3"/>
      </w:r>
    </w:p>
    <w:p w:rsidR="00381CAA" w:rsidRDefault="00381CAA" w:rsidP="004B00F8">
      <w:pPr>
        <w:spacing w:after="120"/>
      </w:pPr>
      <w:r>
        <w:t>In February 2001, the Australian Government announced the establishment of a major, two-year inquiry by the Australian Law Reform Commission (ALRC) and the Australian Health Ethics Committee (AHEC)—a principal committee of the National Health and Medical Research Council (NHMRC)—into the ethical, legal and social implications of rapid advances in genetic science and technology, or what was then commonly referred to as the ‘New Genetics’.</w:t>
      </w:r>
    </w:p>
    <w:p w:rsidR="004B00F8" w:rsidRPr="0010554F" w:rsidRDefault="004B00F8" w:rsidP="0010554F">
      <w:pPr>
        <w:spacing w:after="120"/>
        <w:rPr>
          <w:rFonts w:cstheme="minorHAnsi"/>
        </w:rPr>
      </w:pPr>
      <w:r>
        <w:t>The Terms of Reference directed the ALRC and AHEC to consider, with respect to human genetic information—and the tissue samples from which such informat</w:t>
      </w:r>
      <w:r w:rsidR="0010554F">
        <w:t xml:space="preserve">ion may be </w:t>
      </w:r>
      <w:r w:rsidR="00E27579">
        <w:t xml:space="preserve">readily </w:t>
      </w:r>
      <w:r w:rsidR="0010554F">
        <w:t xml:space="preserve">derived—how best to </w:t>
      </w:r>
      <w:r w:rsidRPr="0010554F">
        <w:rPr>
          <w:rFonts w:cstheme="minorHAnsi"/>
        </w:rPr>
        <w:t>protect privacy; protect against unfair discrimination; and ensure the maintenance of high ethical standards.</w:t>
      </w:r>
      <w:r w:rsidR="0010554F">
        <w:rPr>
          <w:rFonts w:cstheme="minorHAnsi"/>
        </w:rPr>
        <w:t xml:space="preserve"> </w:t>
      </w:r>
      <w:r w:rsidR="00E27579">
        <w:rPr>
          <w:rFonts w:cstheme="minorHAnsi"/>
        </w:rPr>
        <w:t xml:space="preserve"> </w:t>
      </w:r>
      <w:r w:rsidR="0010554F" w:rsidRPr="0010554F">
        <w:rPr>
          <w:rFonts w:cstheme="minorHAnsi"/>
        </w:rPr>
        <w:t>T</w:t>
      </w:r>
      <w:r w:rsidRPr="0010554F">
        <w:rPr>
          <w:rFonts w:cstheme="minorHAnsi"/>
        </w:rPr>
        <w:t xml:space="preserve">hese concerns were explored across </w:t>
      </w:r>
      <w:r w:rsidR="00E27579">
        <w:rPr>
          <w:rFonts w:cstheme="minorHAnsi"/>
        </w:rPr>
        <w:t xml:space="preserve">a wide array of contexts, including </w:t>
      </w:r>
      <w:r w:rsidR="0059306B">
        <w:rPr>
          <w:rFonts w:cstheme="minorHAnsi"/>
        </w:rPr>
        <w:t>such matter as</w:t>
      </w:r>
      <w:r w:rsidR="00E27579">
        <w:rPr>
          <w:rFonts w:cstheme="minorHAnsi"/>
        </w:rPr>
        <w:t>:</w:t>
      </w:r>
      <w:r w:rsidRPr="0010554F">
        <w:rPr>
          <w:rFonts w:cstheme="minorHAnsi"/>
        </w:rPr>
        <w:t xml:space="preserve"> the oversight of human genetic research; public health planning and administration; the delivery of clinical genetic services; law enforcement uses of DNA; insurance underwriting; employment; sport; immigration; parentage and kinship testing</w:t>
      </w:r>
      <w:r w:rsidR="00E27579">
        <w:rPr>
          <w:rFonts w:cstheme="minorHAnsi"/>
        </w:rPr>
        <w:t xml:space="preserve"> (including communal identity)</w:t>
      </w:r>
      <w:r w:rsidRPr="0010554F">
        <w:rPr>
          <w:rFonts w:cstheme="minorHAnsi"/>
        </w:rPr>
        <w:t xml:space="preserve">; and the management of genetic databases.  </w:t>
      </w:r>
    </w:p>
    <w:p w:rsidR="00895D9F" w:rsidRDefault="007A1917" w:rsidP="007A1917">
      <w:pPr>
        <w:jc w:val="both"/>
      </w:pPr>
      <w:r>
        <w:t>The Inquiry prioritized widespread consultation</w:t>
      </w:r>
      <w:r w:rsidR="00C67257">
        <w:t>. It released</w:t>
      </w:r>
      <w:r>
        <w:t xml:space="preserve"> </w:t>
      </w:r>
      <w:r w:rsidR="00895D9F">
        <w:t>a substantial Issues Paper and Discussion Paper</w:t>
      </w:r>
      <w:r>
        <w:t>; conduct</w:t>
      </w:r>
      <w:r w:rsidR="00C67257">
        <w:t>ed</w:t>
      </w:r>
      <w:r w:rsidR="00895D9F">
        <w:t xml:space="preserve"> a series of 15 </w:t>
      </w:r>
      <w:r w:rsidR="00E27579">
        <w:t xml:space="preserve">highly publicized, </w:t>
      </w:r>
      <w:r>
        <w:t>geographically dispersed</w:t>
      </w:r>
      <w:r w:rsidR="001D7403">
        <w:t>,</w:t>
      </w:r>
      <w:r>
        <w:t xml:space="preserve"> </w:t>
      </w:r>
      <w:r w:rsidR="00895D9F">
        <w:t>open forums</w:t>
      </w:r>
      <w:r>
        <w:t>; i</w:t>
      </w:r>
      <w:r w:rsidR="00C67257">
        <w:t>nitiated</w:t>
      </w:r>
      <w:r w:rsidR="00895D9F">
        <w:t xml:space="preserve"> over 200 meetings with interested </w:t>
      </w:r>
      <w:r w:rsidR="001D7403">
        <w:t>groups</w:t>
      </w:r>
      <w:r w:rsidR="00C67257">
        <w:t>; and received</w:t>
      </w:r>
      <w:r w:rsidR="00895D9F">
        <w:t xml:space="preserve"> </w:t>
      </w:r>
      <w:r w:rsidR="00E27579">
        <w:t>about</w:t>
      </w:r>
      <w:r>
        <w:t xml:space="preserve"> 350 </w:t>
      </w:r>
      <w:r w:rsidR="00E27579">
        <w:t xml:space="preserve">formal </w:t>
      </w:r>
      <w:r>
        <w:t>written submissions.</w:t>
      </w:r>
      <w:r w:rsidR="00895D9F">
        <w:t xml:space="preserve"> </w:t>
      </w:r>
      <w:r w:rsidR="00E27579">
        <w:t xml:space="preserve"> </w:t>
      </w:r>
      <w:r>
        <w:rPr>
          <w:rFonts w:eastAsia="Arial Unicode MS"/>
        </w:rPr>
        <w:t>T</w:t>
      </w:r>
      <w:r w:rsidR="00895D9F">
        <w:rPr>
          <w:rFonts w:eastAsia="Arial Unicode MS"/>
        </w:rPr>
        <w:t xml:space="preserve">he Inquiry also established a </w:t>
      </w:r>
      <w:r w:rsidR="00895D9F">
        <w:t>broad-based, external Advisory Committee—a reference group which included leaders in the fields of genetic research; clinical genetics and genetic counseling; public health; Indigenous health; community and professional education; employment and industrial law; human rights, privacy and anti-discrimination law; and ins</w:t>
      </w:r>
      <w:r>
        <w:t>urance and actuarial practice.</w:t>
      </w:r>
    </w:p>
    <w:p w:rsidR="00AD4CC2" w:rsidRPr="00AD4CC2" w:rsidRDefault="00AD4CC2" w:rsidP="00AD4CC2">
      <w:pPr>
        <w:pStyle w:val="BodyText"/>
        <w:spacing w:after="0"/>
      </w:pPr>
      <w:r w:rsidRPr="00AD4CC2">
        <w:t>Consultation revealed strong, but conflicting, feelings in the communit</w:t>
      </w:r>
      <w:r>
        <w:t>y. There wa</w:t>
      </w:r>
      <w:r w:rsidRPr="00AD4CC2">
        <w:t>s considerable optimism</w:t>
      </w:r>
      <w:r w:rsidRPr="00AD4CC2">
        <w:rPr>
          <w:b/>
        </w:rPr>
        <w:t xml:space="preserve"> </w:t>
      </w:r>
      <w:r w:rsidRPr="00AD4CC2">
        <w:t xml:space="preserve">about the potential for genetic research to produce important medical breakthroughs. </w:t>
      </w:r>
      <w:r>
        <w:t>There wa</w:t>
      </w:r>
      <w:r w:rsidRPr="00AD4CC2">
        <w:t xml:space="preserve">s also strong support in the community for the use (with </w:t>
      </w:r>
      <w:r w:rsidR="002832EC">
        <w:t>proper</w:t>
      </w:r>
      <w:r w:rsidRPr="00AD4CC2">
        <w:t xml:space="preserve"> safeguards) of DNA technology and databases by law enforcement and national security authorities.  </w:t>
      </w:r>
      <w:r w:rsidR="004E79A0" w:rsidRPr="004E79A0">
        <w:t xml:space="preserve">It was very common in public meetings for participants to declare their altruism, and their willingness to provide tissue for genetic research studies or permanent </w:t>
      </w:r>
      <w:proofErr w:type="spellStart"/>
      <w:r w:rsidR="004E79A0" w:rsidRPr="004E79A0">
        <w:t>biobanks</w:t>
      </w:r>
      <w:proofErr w:type="spellEnd"/>
      <w:r w:rsidR="004E79A0">
        <w:t>.</w:t>
      </w:r>
      <w:r w:rsidR="004E79A0" w:rsidRPr="004E79A0">
        <w:t xml:space="preserve"> </w:t>
      </w:r>
      <w:r w:rsidR="00E27579">
        <w:t xml:space="preserve"> A</w:t>
      </w:r>
      <w:r w:rsidR="000D58EA">
        <w:t xml:space="preserve">t the same time, </w:t>
      </w:r>
      <w:r w:rsidR="00E27579">
        <w:t xml:space="preserve">however, </w:t>
      </w:r>
      <w:r w:rsidR="000D58EA">
        <w:t>there wa</w:t>
      </w:r>
      <w:r w:rsidR="000D58EA" w:rsidRPr="000D58EA">
        <w:t>s a palpable, underlying anxiety in the com</w:t>
      </w:r>
      <w:r w:rsidR="000D58EA">
        <w:t xml:space="preserve">munity about the pace of change </w:t>
      </w:r>
      <w:r w:rsidR="000D58EA" w:rsidRPr="000D58EA">
        <w:t xml:space="preserve">and some doubts about the capacity of public authorities to regulate this area effectively in </w:t>
      </w:r>
      <w:r w:rsidR="000D58EA">
        <w:t>the public interest</w:t>
      </w:r>
      <w:r w:rsidR="000D58EA" w:rsidRPr="000D58EA">
        <w:t>.</w:t>
      </w:r>
      <w:r w:rsidR="004E79A0">
        <w:t xml:space="preserve"> </w:t>
      </w:r>
      <w:r w:rsidR="00E27579">
        <w:t xml:space="preserve"> </w:t>
      </w:r>
      <w:r w:rsidR="004E79A0" w:rsidRPr="004E79A0">
        <w:t xml:space="preserve">Put another way, Australians </w:t>
      </w:r>
      <w:r w:rsidR="004E79A0">
        <w:t>we</w:t>
      </w:r>
      <w:r w:rsidR="004E79A0" w:rsidRPr="004E79A0">
        <w:t xml:space="preserve">re attracted by the </w:t>
      </w:r>
      <w:r w:rsidR="00E27579">
        <w:t xml:space="preserve">glittering </w:t>
      </w:r>
      <w:r w:rsidR="004E79A0" w:rsidRPr="004E79A0">
        <w:t xml:space="preserve">vision of </w:t>
      </w:r>
      <w:r w:rsidR="00E27579">
        <w:t xml:space="preserve">an </w:t>
      </w:r>
      <w:r w:rsidR="004E79A0" w:rsidRPr="004E79A0">
        <w:t xml:space="preserve">era of </w:t>
      </w:r>
      <w:proofErr w:type="spellStart"/>
      <w:r w:rsidR="004E79A0" w:rsidRPr="004E79A0">
        <w:t>personalised</w:t>
      </w:r>
      <w:proofErr w:type="spellEnd"/>
      <w:r w:rsidR="004E79A0" w:rsidRPr="004E79A0">
        <w:t xml:space="preserve"> genomic medicine, but </w:t>
      </w:r>
      <w:r w:rsidR="004E79A0" w:rsidRPr="004E79A0">
        <w:lastRenderedPageBreak/>
        <w:t xml:space="preserve">fearful of </w:t>
      </w:r>
      <w:r w:rsidR="0083776B">
        <w:t>a</w:t>
      </w:r>
      <w:r w:rsidR="004E79A0" w:rsidRPr="004E79A0">
        <w:t xml:space="preserve"> ‘</w:t>
      </w:r>
      <w:proofErr w:type="spellStart"/>
      <w:r w:rsidR="004E79A0" w:rsidRPr="004E79A0">
        <w:t>geneticised</w:t>
      </w:r>
      <w:proofErr w:type="spellEnd"/>
      <w:r w:rsidR="004E79A0" w:rsidRPr="004E79A0">
        <w:t>’ future</w:t>
      </w:r>
      <w:r w:rsidR="00E27579">
        <w:t xml:space="preserve"> in which an individual’s potential and drive might be defined to too great an extent by their genetic sequence</w:t>
      </w:r>
      <w:r w:rsidR="004E79A0">
        <w:t>.</w:t>
      </w:r>
      <w:r w:rsidR="00E27579">
        <w:rPr>
          <w:rStyle w:val="FootnoteReference"/>
        </w:rPr>
        <w:footnoteReference w:id="4"/>
      </w:r>
    </w:p>
    <w:p w:rsidR="00F42183" w:rsidRDefault="00F42183" w:rsidP="007770C4">
      <w:pPr>
        <w:pStyle w:val="Heading2"/>
      </w:pPr>
      <w:r w:rsidRPr="00F42183">
        <w:t>Essentially Yours (ALRC 96, 2003)</w:t>
      </w:r>
    </w:p>
    <w:p w:rsidR="00355842" w:rsidRDefault="007770C4" w:rsidP="007770C4">
      <w:r>
        <w:rPr>
          <w:lang w:val="en-AU"/>
        </w:rPr>
        <w:t xml:space="preserve">The ALRC/AHEC Report, </w:t>
      </w:r>
      <w:r w:rsidRPr="007770C4">
        <w:rPr>
          <w:i/>
          <w:lang w:val="en-AU"/>
        </w:rPr>
        <w:t>Essentially Yours</w:t>
      </w:r>
      <w:r>
        <w:rPr>
          <w:lang w:val="en-AU"/>
        </w:rPr>
        <w:t>,</w:t>
      </w:r>
      <w:r w:rsidR="00AD515B">
        <w:rPr>
          <w:rStyle w:val="FootnoteReference"/>
          <w:lang w:val="en-AU"/>
        </w:rPr>
        <w:footnoteReference w:id="5"/>
      </w:r>
      <w:r>
        <w:rPr>
          <w:lang w:val="en-AU"/>
        </w:rPr>
        <w:t xml:space="preserve"> made </w:t>
      </w:r>
      <w:r w:rsidR="00971673" w:rsidRPr="00F42183">
        <w:rPr>
          <w:lang w:val="en-AU"/>
        </w:rPr>
        <w:t xml:space="preserve">144 recommendations </w:t>
      </w:r>
      <w:r>
        <w:t xml:space="preserve">addressed to the Australian Government </w:t>
      </w:r>
      <w:r w:rsidRPr="004962C0">
        <w:rPr>
          <w:i/>
        </w:rPr>
        <w:t xml:space="preserve">and </w:t>
      </w:r>
      <w:r>
        <w:t xml:space="preserve">to 30 other actors—including, among others, health and medical policymakers (such as the </w:t>
      </w:r>
      <w:r w:rsidR="00ED0924">
        <w:t>National Health and Medical Research Council (</w:t>
      </w:r>
      <w:r>
        <w:t>NHMRC</w:t>
      </w:r>
      <w:r w:rsidR="00ED0924">
        <w:t>)</w:t>
      </w:r>
      <w:r>
        <w:t>, university medical school deans, and state and territory health officials); doctors and allied health professionals; anti-discrimination and privacy officials; regulatory authorities (for consumer protection and regulation of medical devices</w:t>
      </w:r>
      <w:r w:rsidR="00ED0924">
        <w:t>)</w:t>
      </w:r>
      <w:r>
        <w:t>; insurers; employers and educators.</w:t>
      </w:r>
    </w:p>
    <w:p w:rsidR="00355842" w:rsidRPr="009F7D22" w:rsidRDefault="009F7D22" w:rsidP="009F7D22">
      <w:r>
        <w:t xml:space="preserve">A threshold question </w:t>
      </w:r>
      <w:r w:rsidR="00D81457">
        <w:t xml:space="preserve">for the Inquiry </w:t>
      </w:r>
      <w:r>
        <w:t xml:space="preserve">was whether to embrace notions of ‘genetic </w:t>
      </w:r>
      <w:proofErr w:type="spellStart"/>
      <w:r>
        <w:t>exceptionalism</w:t>
      </w:r>
      <w:proofErr w:type="spellEnd"/>
      <w:r>
        <w:t xml:space="preserve">’; that is, the idea that genetic information is so fundamentally different from, and more powerful than, all other forms of personal information that it requires different and higher levels of legal protection. </w:t>
      </w:r>
      <w:r w:rsidR="00E27579">
        <w:t xml:space="preserve"> </w:t>
      </w:r>
      <w:r w:rsidR="00267AD9">
        <w:t>T</w:t>
      </w:r>
      <w:r>
        <w:t xml:space="preserve">he Inquiry </w:t>
      </w:r>
      <w:r w:rsidRPr="009F7D22">
        <w:t>r</w:t>
      </w:r>
      <w:r w:rsidR="00971673" w:rsidRPr="009F7D22">
        <w:rPr>
          <w:iCs/>
          <w:lang w:val="en-AU"/>
        </w:rPr>
        <w:t>eject</w:t>
      </w:r>
      <w:r w:rsidRPr="009F7D22">
        <w:rPr>
          <w:iCs/>
          <w:lang w:val="en-AU"/>
        </w:rPr>
        <w:t>ed</w:t>
      </w:r>
      <w:r w:rsidR="00971673" w:rsidRPr="009F7D22">
        <w:rPr>
          <w:iCs/>
          <w:lang w:val="en-AU"/>
        </w:rPr>
        <w:t xml:space="preserve"> genetic </w:t>
      </w:r>
      <w:proofErr w:type="spellStart"/>
      <w:r w:rsidR="00971673" w:rsidRPr="009F7D22">
        <w:rPr>
          <w:iCs/>
          <w:lang w:val="en-AU"/>
        </w:rPr>
        <w:t>exceptionalism</w:t>
      </w:r>
      <w:proofErr w:type="spellEnd"/>
      <w:r w:rsidR="00E27579">
        <w:rPr>
          <w:iCs/>
          <w:lang w:val="en-AU"/>
        </w:rPr>
        <w:t>,</w:t>
      </w:r>
      <w:r w:rsidR="00971673" w:rsidRPr="009F7D22">
        <w:rPr>
          <w:iCs/>
          <w:lang w:val="en-AU"/>
        </w:rPr>
        <w:t xml:space="preserve"> but recognise</w:t>
      </w:r>
      <w:r>
        <w:rPr>
          <w:iCs/>
          <w:lang w:val="en-AU"/>
        </w:rPr>
        <w:t>d</w:t>
      </w:r>
      <w:r w:rsidR="00971673" w:rsidRPr="009F7D22">
        <w:rPr>
          <w:iCs/>
          <w:lang w:val="en-AU"/>
        </w:rPr>
        <w:t xml:space="preserve"> the special features and challenges of genetics</w:t>
      </w:r>
      <w:r>
        <w:rPr>
          <w:iCs/>
          <w:lang w:val="en-AU"/>
        </w:rPr>
        <w:t>.</w:t>
      </w:r>
    </w:p>
    <w:p w:rsidR="00355842" w:rsidRPr="00F42183" w:rsidRDefault="00871941" w:rsidP="00871941">
      <w:pPr>
        <w:rPr>
          <w:lang w:val="en-AU"/>
        </w:rPr>
      </w:pPr>
      <w:r>
        <w:rPr>
          <w:lang w:val="en-AU"/>
        </w:rPr>
        <w:t xml:space="preserve">In </w:t>
      </w:r>
      <w:r w:rsidR="00971673" w:rsidRPr="00F42183">
        <w:rPr>
          <w:lang w:val="en-AU"/>
        </w:rPr>
        <w:t>Dec</w:t>
      </w:r>
      <w:r>
        <w:rPr>
          <w:lang w:val="en-AU"/>
        </w:rPr>
        <w:t>ember</w:t>
      </w:r>
      <w:r w:rsidR="00971673" w:rsidRPr="00F42183">
        <w:rPr>
          <w:lang w:val="en-AU"/>
        </w:rPr>
        <w:t xml:space="preserve"> </w:t>
      </w:r>
      <w:r>
        <w:rPr>
          <w:lang w:val="en-AU"/>
        </w:rPr>
        <w:t>20</w:t>
      </w:r>
      <w:r w:rsidR="00971673" w:rsidRPr="00F42183">
        <w:rPr>
          <w:lang w:val="en-AU"/>
        </w:rPr>
        <w:t>05</w:t>
      </w:r>
      <w:r>
        <w:rPr>
          <w:lang w:val="en-AU"/>
        </w:rPr>
        <w:t xml:space="preserve">, the Australian Government issued a </w:t>
      </w:r>
      <w:r w:rsidR="00E27579">
        <w:rPr>
          <w:lang w:val="en-AU"/>
        </w:rPr>
        <w:t>formal Whole-of-G</w:t>
      </w:r>
      <w:r>
        <w:rPr>
          <w:lang w:val="en-AU"/>
        </w:rPr>
        <w:t>overnment</w:t>
      </w:r>
      <w:r w:rsidR="00971673" w:rsidRPr="00F42183">
        <w:rPr>
          <w:lang w:val="en-AU"/>
        </w:rPr>
        <w:t xml:space="preserve"> response </w:t>
      </w:r>
      <w:r w:rsidR="00E27579">
        <w:rPr>
          <w:lang w:val="en-AU"/>
        </w:rPr>
        <w:t xml:space="preserve">and </w:t>
      </w:r>
      <w:r w:rsidR="00971673" w:rsidRPr="00F42183">
        <w:rPr>
          <w:lang w:val="en-AU"/>
        </w:rPr>
        <w:t xml:space="preserve">accepted </w:t>
      </w:r>
      <w:r w:rsidR="00971673" w:rsidRPr="00F42183">
        <w:rPr>
          <w:i/>
          <w:iCs/>
          <w:lang w:val="en-AU"/>
        </w:rPr>
        <w:t>almost</w:t>
      </w:r>
      <w:r w:rsidR="00971673" w:rsidRPr="00F42183">
        <w:rPr>
          <w:lang w:val="en-AU"/>
        </w:rPr>
        <w:t xml:space="preserve"> all </w:t>
      </w:r>
      <w:r>
        <w:rPr>
          <w:lang w:val="en-AU"/>
        </w:rPr>
        <w:t xml:space="preserve">the report’s </w:t>
      </w:r>
      <w:r w:rsidR="00E27579">
        <w:rPr>
          <w:lang w:val="en-AU"/>
        </w:rPr>
        <w:t>r</w:t>
      </w:r>
      <w:r w:rsidR="00971673" w:rsidRPr="00F42183">
        <w:rPr>
          <w:lang w:val="en-AU"/>
        </w:rPr>
        <w:t>ec</w:t>
      </w:r>
      <w:r>
        <w:rPr>
          <w:lang w:val="en-AU"/>
        </w:rPr>
        <w:t>ommendation</w:t>
      </w:r>
      <w:r w:rsidR="00971673" w:rsidRPr="00F42183">
        <w:rPr>
          <w:lang w:val="en-AU"/>
        </w:rPr>
        <w:t>s</w:t>
      </w:r>
      <w:r>
        <w:rPr>
          <w:lang w:val="en-AU"/>
        </w:rPr>
        <w:t>. There has been</w:t>
      </w:r>
      <w:r w:rsidR="00971673" w:rsidRPr="00F42183">
        <w:rPr>
          <w:lang w:val="en-AU"/>
        </w:rPr>
        <w:t xml:space="preserve"> steady implementation </w:t>
      </w:r>
      <w:r w:rsidR="00E27579">
        <w:rPr>
          <w:lang w:val="en-AU"/>
        </w:rPr>
        <w:t xml:space="preserve">of the accepted recommendations </w:t>
      </w:r>
      <w:r w:rsidR="00971673" w:rsidRPr="00F42183">
        <w:rPr>
          <w:lang w:val="en-AU"/>
        </w:rPr>
        <w:t>since</w:t>
      </w:r>
      <w:r>
        <w:rPr>
          <w:lang w:val="en-AU"/>
        </w:rPr>
        <w:t xml:space="preserve"> th</w:t>
      </w:r>
      <w:r w:rsidR="00E27579">
        <w:rPr>
          <w:lang w:val="en-AU"/>
        </w:rPr>
        <w:t>at</w:t>
      </w:r>
      <w:r>
        <w:rPr>
          <w:lang w:val="en-AU"/>
        </w:rPr>
        <w:t xml:space="preserve"> time.</w:t>
      </w:r>
      <w:r w:rsidR="005472AF">
        <w:rPr>
          <w:lang w:val="en-AU"/>
        </w:rPr>
        <w:t xml:space="preserve"> Some of the more significant steps are discussed below.</w:t>
      </w:r>
    </w:p>
    <w:p w:rsidR="00F42183" w:rsidRDefault="00F42183" w:rsidP="00871941">
      <w:pPr>
        <w:pStyle w:val="Heading2"/>
      </w:pPr>
      <w:r w:rsidRPr="00F42183">
        <w:t>A national standing body (HGAC)</w:t>
      </w:r>
    </w:p>
    <w:p w:rsidR="00F649B4" w:rsidRDefault="00F649B4" w:rsidP="00F649B4">
      <w:pPr>
        <w:jc w:val="both"/>
        <w:rPr>
          <w:szCs w:val="32"/>
        </w:rPr>
      </w:pPr>
      <w:r>
        <w:t xml:space="preserve">The central recommendation in </w:t>
      </w:r>
      <w:r>
        <w:rPr>
          <w:i/>
          <w:iCs/>
        </w:rPr>
        <w:t>Essentially Yours</w:t>
      </w:r>
      <w:r>
        <w:t xml:space="preserve"> called for the establishment of a standing advisory body on human genetics to provide high-level, technical and strategic advice to Australian governments</w:t>
      </w:r>
      <w:r w:rsidR="00A808AB">
        <w:t xml:space="preserve"> and others</w:t>
      </w:r>
      <w:r>
        <w:t xml:space="preserve"> about current and emerging issues in human genetics, as well as providing a mechanism for the development of policy statements and national standards and guidelines in this area.</w:t>
      </w:r>
      <w:r w:rsidR="00E27579">
        <w:t xml:space="preserve"> </w:t>
      </w:r>
      <w:r w:rsidR="002E6A5C">
        <w:t xml:space="preserve"> </w:t>
      </w:r>
      <w:r>
        <w:t>This recommendation was accepted by the Australian Government, and i</w:t>
      </w:r>
      <w:r>
        <w:rPr>
          <w:szCs w:val="32"/>
        </w:rPr>
        <w:t>n 2005</w:t>
      </w:r>
      <w:r w:rsidR="00267AD9">
        <w:rPr>
          <w:szCs w:val="32"/>
        </w:rPr>
        <w:t>,</w:t>
      </w:r>
      <w:r>
        <w:rPr>
          <w:szCs w:val="32"/>
        </w:rPr>
        <w:t xml:space="preserve"> the Government appropriated </w:t>
      </w:r>
      <w:proofErr w:type="gramStart"/>
      <w:r>
        <w:rPr>
          <w:szCs w:val="32"/>
        </w:rPr>
        <w:t>A$</w:t>
      </w:r>
      <w:proofErr w:type="gramEnd"/>
      <w:r>
        <w:rPr>
          <w:szCs w:val="32"/>
        </w:rPr>
        <w:t xml:space="preserve">7.6 million </w:t>
      </w:r>
      <w:r>
        <w:t xml:space="preserve">over four years to establish a Human Genetics Advisory Committee (HGAC) as a new principal committee of the NHMRC.  </w:t>
      </w:r>
      <w:r w:rsidR="001A27AC">
        <w:t>Similar bodies then existed in the United Kingdom (the Human Genetics Commission), Canada (the Ontario Genetics Advisory Committee) and the United States (the Secretary’s Advisory Committee on Genetics, Health and Society)—but the HGAC has outlasted most of its international counterparts and is still an active part of the NHMRC.</w:t>
      </w:r>
    </w:p>
    <w:p w:rsidR="00355842" w:rsidRPr="004F634F" w:rsidRDefault="00A500A5" w:rsidP="009C7BFA">
      <w:pPr>
        <w:jc w:val="both"/>
        <w:rPr>
          <w:lang w:val="en-AU"/>
        </w:rPr>
      </w:pPr>
      <w:r>
        <w:rPr>
          <w:lang w:val="en-AU"/>
        </w:rPr>
        <w:t xml:space="preserve">HGAC </w:t>
      </w:r>
      <w:r w:rsidR="00971673" w:rsidRPr="009C7BFA">
        <w:t>membership</w:t>
      </w:r>
      <w:r w:rsidR="00267AD9">
        <w:rPr>
          <w:lang w:val="en-AU"/>
        </w:rPr>
        <w:t xml:space="preserve"> </w:t>
      </w:r>
      <w:r w:rsidR="004F634F">
        <w:rPr>
          <w:lang w:val="en-AU"/>
        </w:rPr>
        <w:t>includes</w:t>
      </w:r>
      <w:r w:rsidR="00267AD9">
        <w:rPr>
          <w:lang w:val="en-AU"/>
        </w:rPr>
        <w:t xml:space="preserve"> </w:t>
      </w:r>
      <w:r w:rsidR="00267AD9" w:rsidRPr="00267AD9">
        <w:rPr>
          <w:lang w:val="en-AU"/>
        </w:rPr>
        <w:t xml:space="preserve">persons with expertise in human genetics; community representation; privacy, discrimination and health law; data management and information security; science communication; and the health needs of </w:t>
      </w:r>
      <w:r w:rsidR="00267AD9">
        <w:rPr>
          <w:lang w:val="en-AU"/>
        </w:rPr>
        <w:t>Indigenous Australians</w:t>
      </w:r>
      <w:r w:rsidR="004F634F">
        <w:rPr>
          <w:lang w:val="en-AU"/>
        </w:rPr>
        <w:t xml:space="preserve">. </w:t>
      </w:r>
      <w:r w:rsidR="001A27AC">
        <w:rPr>
          <w:lang w:val="en-AU"/>
        </w:rPr>
        <w:t xml:space="preserve"> </w:t>
      </w:r>
      <w:r w:rsidR="004F634F">
        <w:rPr>
          <w:lang w:val="en-AU"/>
        </w:rPr>
        <w:t>The HGAC</w:t>
      </w:r>
      <w:r w:rsidR="00971673" w:rsidRPr="00F42183">
        <w:rPr>
          <w:lang w:val="en-AU"/>
        </w:rPr>
        <w:t xml:space="preserve"> has taken the lead on</w:t>
      </w:r>
      <w:r w:rsidR="009C7BFA">
        <w:rPr>
          <w:lang w:val="en-AU"/>
        </w:rPr>
        <w:t xml:space="preserve"> </w:t>
      </w:r>
      <w:r w:rsidR="001A27AC">
        <w:rPr>
          <w:lang w:val="en-AU"/>
        </w:rPr>
        <w:t xml:space="preserve">a number of important </w:t>
      </w:r>
      <w:r w:rsidR="009C7BFA">
        <w:rPr>
          <w:lang w:val="en-AU"/>
        </w:rPr>
        <w:t>issues</w:t>
      </w:r>
      <w:r w:rsidR="001A27AC">
        <w:rPr>
          <w:lang w:val="en-AU"/>
        </w:rPr>
        <w:t xml:space="preserve">, including: </w:t>
      </w:r>
      <w:r w:rsidR="009C7BFA">
        <w:rPr>
          <w:lang w:val="en-AU"/>
        </w:rPr>
        <w:t>the education of general practitioners</w:t>
      </w:r>
      <w:r w:rsidR="00971673" w:rsidRPr="009C7BFA">
        <w:rPr>
          <w:lang w:val="en-AU"/>
        </w:rPr>
        <w:t xml:space="preserve"> and </w:t>
      </w:r>
      <w:r w:rsidR="009C7BFA">
        <w:rPr>
          <w:lang w:val="en-AU"/>
        </w:rPr>
        <w:t xml:space="preserve">the broader </w:t>
      </w:r>
      <w:r w:rsidR="00971673" w:rsidRPr="009C7BFA">
        <w:t>community</w:t>
      </w:r>
      <w:r w:rsidR="009C7BFA">
        <w:rPr>
          <w:lang w:val="en-AU"/>
        </w:rPr>
        <w:t xml:space="preserve">; </w:t>
      </w:r>
      <w:r w:rsidR="00971673" w:rsidRPr="009C7BFA">
        <w:rPr>
          <w:lang w:val="en-AU"/>
        </w:rPr>
        <w:t>monitoring and working with insurance industry</w:t>
      </w:r>
      <w:r w:rsidR="001A27AC">
        <w:rPr>
          <w:lang w:val="en-AU"/>
        </w:rPr>
        <w:t xml:space="preserve"> on its underwriting policies and practices</w:t>
      </w:r>
      <w:r w:rsidR="009C7BFA">
        <w:rPr>
          <w:lang w:val="en-AU"/>
        </w:rPr>
        <w:t xml:space="preserve">; </w:t>
      </w:r>
      <w:r w:rsidR="001A27AC">
        <w:rPr>
          <w:lang w:val="en-AU"/>
        </w:rPr>
        <w:t xml:space="preserve">the </w:t>
      </w:r>
      <w:r w:rsidR="009C7BFA">
        <w:rPr>
          <w:lang w:val="en-AU"/>
        </w:rPr>
        <w:t xml:space="preserve">regulation of </w:t>
      </w:r>
      <w:r w:rsidR="001A27AC">
        <w:rPr>
          <w:lang w:val="en-AU"/>
        </w:rPr>
        <w:t xml:space="preserve">the </w:t>
      </w:r>
      <w:r w:rsidR="009C7BFA">
        <w:rPr>
          <w:lang w:val="en-AU"/>
        </w:rPr>
        <w:t>direct-to-consumer</w:t>
      </w:r>
      <w:r w:rsidR="00971673" w:rsidRPr="009C7BFA">
        <w:rPr>
          <w:lang w:val="en-AU"/>
        </w:rPr>
        <w:t xml:space="preserve"> </w:t>
      </w:r>
      <w:r w:rsidR="009C7BFA">
        <w:rPr>
          <w:lang w:val="en-AU"/>
        </w:rPr>
        <w:t>genetic test</w:t>
      </w:r>
      <w:r w:rsidR="001A27AC">
        <w:rPr>
          <w:lang w:val="en-AU"/>
        </w:rPr>
        <w:t>ing</w:t>
      </w:r>
      <w:r w:rsidR="009C7BFA">
        <w:rPr>
          <w:lang w:val="en-AU"/>
        </w:rPr>
        <w:t>;</w:t>
      </w:r>
      <w:r w:rsidR="00971673" w:rsidRPr="009C7BFA">
        <w:rPr>
          <w:lang w:val="en-AU"/>
        </w:rPr>
        <w:t xml:space="preserve"> </w:t>
      </w:r>
      <w:r w:rsidR="009C7BFA">
        <w:rPr>
          <w:lang w:val="en-AU"/>
        </w:rPr>
        <w:t xml:space="preserve">and </w:t>
      </w:r>
      <w:r w:rsidR="001A27AC">
        <w:rPr>
          <w:lang w:val="en-AU"/>
        </w:rPr>
        <w:t xml:space="preserve">system-wide </w:t>
      </w:r>
      <w:r w:rsidR="00971673" w:rsidRPr="00F42183">
        <w:rPr>
          <w:lang w:val="en-AU"/>
        </w:rPr>
        <w:t xml:space="preserve">planning for the </w:t>
      </w:r>
      <w:r w:rsidR="001A27AC">
        <w:rPr>
          <w:lang w:val="en-AU"/>
        </w:rPr>
        <w:t>implications of the rapidly approaching W</w:t>
      </w:r>
      <w:r w:rsidR="009C7BFA">
        <w:rPr>
          <w:lang w:val="en-AU"/>
        </w:rPr>
        <w:t>hole-</w:t>
      </w:r>
      <w:r w:rsidR="001A27AC">
        <w:rPr>
          <w:lang w:val="en-AU"/>
        </w:rPr>
        <w:t>G</w:t>
      </w:r>
      <w:r w:rsidR="009C7BFA">
        <w:rPr>
          <w:lang w:val="en-AU"/>
        </w:rPr>
        <w:t>enome-</w:t>
      </w:r>
      <w:r w:rsidR="001A27AC">
        <w:rPr>
          <w:lang w:val="en-AU"/>
        </w:rPr>
        <w:t>S</w:t>
      </w:r>
      <w:r w:rsidR="009C7BFA">
        <w:rPr>
          <w:lang w:val="en-AU"/>
        </w:rPr>
        <w:t>equencing</w:t>
      </w:r>
      <w:r w:rsidR="00971673" w:rsidRPr="00F42183">
        <w:rPr>
          <w:lang w:val="en-AU"/>
        </w:rPr>
        <w:t xml:space="preserve"> era</w:t>
      </w:r>
      <w:r w:rsidR="009C7BFA">
        <w:rPr>
          <w:lang w:val="en-AU"/>
        </w:rPr>
        <w:t>.</w:t>
      </w:r>
      <w:r w:rsidR="001A27AC">
        <w:rPr>
          <w:lang w:val="en-AU"/>
        </w:rPr>
        <w:t xml:space="preserve">  </w:t>
      </w:r>
    </w:p>
    <w:p w:rsidR="00F42183" w:rsidRDefault="00BF3F35" w:rsidP="00762198">
      <w:pPr>
        <w:pStyle w:val="Heading2"/>
      </w:pPr>
      <w:r w:rsidRPr="00BF3F35">
        <w:lastRenderedPageBreak/>
        <w:t>Adapt privacy laws</w:t>
      </w:r>
    </w:p>
    <w:p w:rsidR="0054053A" w:rsidRDefault="005F326B" w:rsidP="006F1194">
      <w:r>
        <w:t>Responding to the strong concerns raised in consultations, t</w:t>
      </w:r>
      <w:r w:rsidR="006F1194">
        <w:t>he Inquiry made a number of recommendations to enhance the privacy of genetic infor</w:t>
      </w:r>
      <w:r w:rsidR="0041236F">
        <w:t xml:space="preserve">mation, including </w:t>
      </w:r>
      <w:r w:rsidR="0054053A">
        <w:t xml:space="preserve">inserting </w:t>
      </w:r>
      <w:r w:rsidR="00A35527">
        <w:t xml:space="preserve">into federal privacy legislation </w:t>
      </w:r>
      <w:r w:rsidR="0054053A">
        <w:t>a definition of ‘genetic relative’; amending the definition of ‘health information’</w:t>
      </w:r>
      <w:r w:rsidR="001A27AC">
        <w:t xml:space="preserve"> expressly </w:t>
      </w:r>
      <w:r w:rsidR="0054053A">
        <w:t xml:space="preserve"> to cover genetic information predictive of the health of the individual or a genetic relative; and amending the definition of ‘sensitive information’ to include ‘genetic information about an individual that is not otherwise health information’.</w:t>
      </w:r>
      <w:r w:rsidR="0041236F">
        <w:t xml:space="preserve"> The </w:t>
      </w:r>
      <w:r w:rsidR="001A27AC">
        <w:t xml:space="preserve">Australian </w:t>
      </w:r>
      <w:r w:rsidR="0041236F">
        <w:t>Government implemented these recommendations</w:t>
      </w:r>
      <w:r w:rsidR="00A35527">
        <w:t xml:space="preserve"> in 2006.</w:t>
      </w:r>
    </w:p>
    <w:p w:rsidR="00827A06" w:rsidRDefault="002F57FA" w:rsidP="002F57FA">
      <w:r>
        <w:t xml:space="preserve">The Inquiry also recommended that the </w:t>
      </w:r>
      <w:r w:rsidRPr="002F57FA">
        <w:rPr>
          <w:i/>
        </w:rPr>
        <w:t>Privacy Act</w:t>
      </w:r>
      <w:r>
        <w:t xml:space="preserve"> should </w:t>
      </w:r>
      <w:r w:rsidR="00D22378">
        <w:t>apply</w:t>
      </w:r>
      <w:r>
        <w:t xml:space="preserve"> </w:t>
      </w:r>
      <w:r w:rsidRPr="002F57FA">
        <w:t xml:space="preserve">explicitly to </w:t>
      </w:r>
      <w:r w:rsidR="001A27AC">
        <w:t xml:space="preserve">human tissue </w:t>
      </w:r>
      <w:r w:rsidRPr="002F57FA">
        <w:rPr>
          <w:i/>
        </w:rPr>
        <w:t>samples</w:t>
      </w:r>
      <w:r>
        <w:t>, above and beyond genetic information</w:t>
      </w:r>
      <w:r w:rsidRPr="002F57FA">
        <w:t xml:space="preserve">. </w:t>
      </w:r>
      <w:r w:rsidR="0093418B">
        <w:t>Although there was</w:t>
      </w:r>
      <w:r>
        <w:t xml:space="preserve"> broad support in consultations </w:t>
      </w:r>
      <w:r w:rsidR="00A35527">
        <w:t>and the</w:t>
      </w:r>
      <w:r>
        <w:t xml:space="preserve"> close analogies between genetic samples and other sources of </w:t>
      </w:r>
      <w:r w:rsidR="001A27AC">
        <w:t xml:space="preserve">encrypted </w:t>
      </w:r>
      <w:r>
        <w:t xml:space="preserve">personal information covered by the </w:t>
      </w:r>
      <w:r w:rsidRPr="002F57FA">
        <w:rPr>
          <w:i/>
        </w:rPr>
        <w:t>Privacy Act</w:t>
      </w:r>
      <w:r w:rsidR="00A35527">
        <w:t>,</w:t>
      </w:r>
      <w:r w:rsidRPr="002F57FA">
        <w:t xml:space="preserve"> </w:t>
      </w:r>
      <w:r w:rsidR="00A35527">
        <w:t>t</w:t>
      </w:r>
      <w:r w:rsidR="00827A06">
        <w:t xml:space="preserve">he Government did not </w:t>
      </w:r>
      <w:r>
        <w:t>support such a change</w:t>
      </w:r>
      <w:r w:rsidR="001A27AC">
        <w:t xml:space="preserve">, fearing that this would move the Act too far away from </w:t>
      </w:r>
      <w:r w:rsidR="0028236A">
        <w:t xml:space="preserve">its original </w:t>
      </w:r>
      <w:r w:rsidR="001A27AC">
        <w:t>‘data protection’ focus</w:t>
      </w:r>
      <w:r w:rsidR="00A35527">
        <w:t xml:space="preserve">. </w:t>
      </w:r>
      <w:r w:rsidR="001A27AC">
        <w:t xml:space="preserve"> </w:t>
      </w:r>
      <w:r w:rsidR="00A35527">
        <w:t>Instead</w:t>
      </w:r>
      <w:r w:rsidR="0093418B">
        <w:t>—and despite the ALRC expressly rejecting this idea—</w:t>
      </w:r>
      <w:r w:rsidR="00A35527">
        <w:t>it</w:t>
      </w:r>
      <w:r w:rsidR="0093418B">
        <w:t xml:space="preserve"> </w:t>
      </w:r>
      <w:r w:rsidR="00A35527">
        <w:t>suggested</w:t>
      </w:r>
      <w:r w:rsidR="00CD7BEA">
        <w:t xml:space="preserve"> that</w:t>
      </w:r>
      <w:r w:rsidR="00827A06">
        <w:t xml:space="preserve"> </w:t>
      </w:r>
      <w:r w:rsidR="001A27AC">
        <w:t xml:space="preserve">ownership interests in </w:t>
      </w:r>
      <w:r w:rsidR="00CD7BEA">
        <w:t xml:space="preserve">genetic samples could be addressed in state </w:t>
      </w:r>
      <w:r w:rsidR="001A27AC">
        <w:t xml:space="preserve">and territory </w:t>
      </w:r>
      <w:r w:rsidR="00CD7BEA">
        <w:t>Human Tissues Acts.</w:t>
      </w:r>
    </w:p>
    <w:p w:rsidR="00EE7B37" w:rsidRDefault="005711CE" w:rsidP="00EE7B37">
      <w:r>
        <w:t xml:space="preserve">One issue which remains up for debate in Australia is the desirability of </w:t>
      </w:r>
      <w:r w:rsidR="0028236A">
        <w:t xml:space="preserve">the establishment of </w:t>
      </w:r>
      <w:r>
        <w:t xml:space="preserve">a criminal offence for </w:t>
      </w:r>
      <w:r w:rsidR="0028236A">
        <w:t xml:space="preserve">the </w:t>
      </w:r>
      <w:r w:rsidR="00EE7B37">
        <w:t>non-consensual collect</w:t>
      </w:r>
      <w:r w:rsidR="00D22378">
        <w:t>ion and analysis of DNA samples</w:t>
      </w:r>
      <w:r w:rsidR="00EE7B37">
        <w:t>.  Given the</w:t>
      </w:r>
      <w:r w:rsidR="00D22378">
        <w:t xml:space="preserve"> ubiquity of genetic samples</w:t>
      </w:r>
      <w:r w:rsidR="00EE7B37">
        <w:t xml:space="preserve"> and the growing availability and decreasing cost </w:t>
      </w:r>
      <w:r w:rsidR="0028236A">
        <w:t>of</w:t>
      </w:r>
      <w:r w:rsidR="00EE7B37">
        <w:t xml:space="preserve"> DNA analysis, the</w:t>
      </w:r>
      <w:r>
        <w:t xml:space="preserve"> Inquiry raised concerns about the</w:t>
      </w:r>
      <w:r w:rsidR="00EE7B37">
        <w:t xml:space="preserve"> greatly increased potential for </w:t>
      </w:r>
      <w:r w:rsidR="0028236A">
        <w:t>abuse</w:t>
      </w:r>
      <w:r w:rsidR="00EE7B37">
        <w:t xml:space="preserve">.  </w:t>
      </w:r>
      <w:r w:rsidR="0028236A">
        <w:t xml:space="preserve">After considerable internal debate, the Inquiry </w:t>
      </w:r>
      <w:r w:rsidR="00EE7B37">
        <w:t xml:space="preserve">recommended the creation of a new criminal offence, </w:t>
      </w:r>
      <w:r w:rsidR="00D22378">
        <w:t>which would</w:t>
      </w:r>
      <w:r w:rsidR="00EE7B37">
        <w:t xml:space="preserve"> prohibit an individual or a corporation from submitting another person’s sample for genetic testing, or conducting such testing, knowing (or recklessly indifferent to the fact) that this is done without the consent of the person concerned or without other lawful authority—such as a court order</w:t>
      </w:r>
      <w:r w:rsidR="0028236A">
        <w:t>,</w:t>
      </w:r>
      <w:r w:rsidR="00EE7B37">
        <w:t xml:space="preserve"> </w:t>
      </w:r>
      <w:r w:rsidR="0028236A">
        <w:t xml:space="preserve">approval by a human </w:t>
      </w:r>
      <w:r w:rsidR="00D22378">
        <w:t xml:space="preserve">research </w:t>
      </w:r>
      <w:r w:rsidR="00EE7B37">
        <w:t>ethics committee</w:t>
      </w:r>
      <w:r w:rsidR="0028236A">
        <w:t>, or authorization under police forensics legislation</w:t>
      </w:r>
      <w:r w:rsidR="00EE7B37">
        <w:t>.</w:t>
      </w:r>
      <w:r w:rsidR="00B76B42">
        <w:t xml:space="preserve"> </w:t>
      </w:r>
      <w:r w:rsidR="0028236A">
        <w:t xml:space="preserve"> </w:t>
      </w:r>
      <w:r w:rsidR="00B76B42">
        <w:t xml:space="preserve">The </w:t>
      </w:r>
      <w:r w:rsidR="0028236A">
        <w:t>G</w:t>
      </w:r>
      <w:r w:rsidR="00B76B42">
        <w:t>over</w:t>
      </w:r>
      <w:r w:rsidR="00A3139D">
        <w:t>nment</w:t>
      </w:r>
      <w:r w:rsidR="00A3139D" w:rsidRPr="00A3139D">
        <w:t xml:space="preserve"> </w:t>
      </w:r>
      <w:r w:rsidR="0028236A">
        <w:t xml:space="preserve">accepted this recommendation in principle, but referred the matter to </w:t>
      </w:r>
      <w:r w:rsidR="00A3139D" w:rsidRPr="00A3139D">
        <w:t xml:space="preserve">the Standing Committee of Attorneys-General </w:t>
      </w:r>
      <w:r w:rsidR="0028236A">
        <w:t>(SCAG)</w:t>
      </w:r>
      <w:r w:rsidR="0028236A">
        <w:rPr>
          <w:rStyle w:val="FootnoteReference"/>
        </w:rPr>
        <w:footnoteReference w:id="6"/>
      </w:r>
      <w:r w:rsidR="0028236A">
        <w:t xml:space="preserve"> </w:t>
      </w:r>
      <w:r w:rsidR="00A3139D" w:rsidRPr="00A3139D">
        <w:t xml:space="preserve">for </w:t>
      </w:r>
      <w:r w:rsidR="0028236A">
        <w:t>further development</w:t>
      </w:r>
      <w:r w:rsidR="009D4EA8" w:rsidRPr="00ED0924">
        <w:rPr>
          <w:rFonts w:cstheme="minorHAnsi"/>
        </w:rPr>
        <w:t xml:space="preserve">. </w:t>
      </w:r>
      <w:r w:rsidR="0028236A" w:rsidRPr="00ED0924">
        <w:rPr>
          <w:rFonts w:cstheme="minorHAnsi"/>
        </w:rPr>
        <w:t xml:space="preserve"> </w:t>
      </w:r>
      <w:r w:rsidR="00C94409" w:rsidRPr="00ED0924">
        <w:rPr>
          <w:rFonts w:cstheme="minorHAnsi"/>
        </w:rPr>
        <w:t xml:space="preserve">In late </w:t>
      </w:r>
      <w:r w:rsidR="0028236A" w:rsidRPr="00ED0924">
        <w:rPr>
          <w:rFonts w:cstheme="minorHAnsi"/>
        </w:rPr>
        <w:t>20</w:t>
      </w:r>
      <w:r w:rsidR="00C94409" w:rsidRPr="00ED0924">
        <w:rPr>
          <w:rFonts w:cstheme="minorHAnsi"/>
        </w:rPr>
        <w:t>08, the Model Criminal Law Officers’ Committee of</w:t>
      </w:r>
      <w:r w:rsidR="0028236A" w:rsidRPr="00ED0924">
        <w:rPr>
          <w:rFonts w:cstheme="minorHAnsi"/>
        </w:rPr>
        <w:t xml:space="preserve"> </w:t>
      </w:r>
      <w:r w:rsidR="00C94409" w:rsidRPr="00ED0924">
        <w:rPr>
          <w:rFonts w:cstheme="minorHAnsi"/>
        </w:rPr>
        <w:t>SCAG released a discussion paper entitled</w:t>
      </w:r>
      <w:r w:rsidR="00C94409">
        <w:t xml:space="preserve"> </w:t>
      </w:r>
      <w:r w:rsidR="00C94409" w:rsidRPr="00C94409">
        <w:rPr>
          <w:i/>
        </w:rPr>
        <w:t>Non-consensual Genetic Testing</w:t>
      </w:r>
      <w:r w:rsidR="00C94409">
        <w:t>,</w:t>
      </w:r>
      <w:r w:rsidR="00C94409">
        <w:rPr>
          <w:rStyle w:val="FootnoteReference"/>
        </w:rPr>
        <w:footnoteReference w:id="7"/>
      </w:r>
      <w:r w:rsidR="00C94409">
        <w:t xml:space="preserve"> </w:t>
      </w:r>
      <w:r w:rsidR="0028236A">
        <w:t>which contained a number of model draft offences</w:t>
      </w:r>
      <w:r w:rsidR="00C94409">
        <w:t xml:space="preserve">.  Unfortunately, </w:t>
      </w:r>
      <w:r w:rsidR="0028236A">
        <w:t xml:space="preserve">these were poorly drafted and came under </w:t>
      </w:r>
      <w:r w:rsidR="00C94409">
        <w:t>nearly universal criticism for being too vague, overly broad, and failing to come to grips with the nature of DNA and DNA testing.  Submissions were called for by 31 January 2009, but there has been no announcement or further action since then, despite questions being asked by the HGAC about the unexplained lack of progress on this matter</w:t>
      </w:r>
      <w:r w:rsidR="009D4EA8">
        <w:t>.</w:t>
      </w:r>
    </w:p>
    <w:p w:rsidR="00BF3F35" w:rsidRDefault="00BF3F35" w:rsidP="002E6E39">
      <w:pPr>
        <w:pStyle w:val="Heading2"/>
      </w:pPr>
      <w:r w:rsidRPr="00BF3F35">
        <w:t>Adapt anti-discrimination laws</w:t>
      </w:r>
    </w:p>
    <w:p w:rsidR="00F52898" w:rsidRDefault="00F52898" w:rsidP="004218FF">
      <w:r>
        <w:t xml:space="preserve">Anti-discrimination legislation exists at the federal, state and territory levels in Australia.  Despite some differences in detail, all of anti-discrimination legislation in Australia embodies the same basic paradigm for identifying unlawful discrimination.  </w:t>
      </w:r>
      <w:r w:rsidR="004218FF">
        <w:t>One requirement f</w:t>
      </w:r>
      <w:r>
        <w:t>o</w:t>
      </w:r>
      <w:r w:rsidR="004218FF">
        <w:t>r discrimination to be unlawful</w:t>
      </w:r>
      <w:r>
        <w:t xml:space="preserve"> </w:t>
      </w:r>
      <w:r w:rsidR="004218FF">
        <w:t xml:space="preserve">is that an act or omission </w:t>
      </w:r>
      <w:r>
        <w:t>be based on one of the grounds or attributes set out in the legislation, such as sex, race, age or disability</w:t>
      </w:r>
      <w:r w:rsidR="004562E8">
        <w:t xml:space="preserve"> (but also including, in various jurisdictions, sexual orientation, political views, and pregnancy, among other things)</w:t>
      </w:r>
      <w:r w:rsidR="004218FF">
        <w:t xml:space="preserve">. </w:t>
      </w:r>
    </w:p>
    <w:p w:rsidR="00E5142F" w:rsidRDefault="00406817" w:rsidP="00F52898">
      <w:pPr>
        <w:jc w:val="both"/>
      </w:pPr>
      <w:r>
        <w:lastRenderedPageBreak/>
        <w:t>Experts generally agreed</w:t>
      </w:r>
      <w:r w:rsidR="00F52898">
        <w:t xml:space="preserve"> that definition</w:t>
      </w:r>
      <w:r>
        <w:t>s</w:t>
      </w:r>
      <w:r w:rsidR="00F52898">
        <w:t xml:space="preserve"> of disability </w:t>
      </w:r>
      <w:r>
        <w:t>would cover</w:t>
      </w:r>
      <w:r w:rsidR="00F52898">
        <w:t xml:space="preserve"> genetic conditions</w:t>
      </w:r>
      <w:r w:rsidR="0092045A">
        <w:t xml:space="preserve"> once symptoms had manifested</w:t>
      </w:r>
      <w:r w:rsidR="00F52898">
        <w:t xml:space="preserve">.  </w:t>
      </w:r>
      <w:r w:rsidR="002832EC">
        <w:t>However, they questioned</w:t>
      </w:r>
      <w:r w:rsidR="00F52898">
        <w:t xml:space="preserve"> whether </w:t>
      </w:r>
      <w:r w:rsidR="00F1230A">
        <w:t xml:space="preserve">they would </w:t>
      </w:r>
      <w:r w:rsidR="00EC2E84">
        <w:t xml:space="preserve">cover </w:t>
      </w:r>
      <w:r w:rsidR="00F52898">
        <w:t>discrimination on the basis of</w:t>
      </w:r>
      <w:r w:rsidR="0092045A">
        <w:t xml:space="preserve"> genetic status where a person wa</w:t>
      </w:r>
      <w:r w:rsidR="00F52898">
        <w:t xml:space="preserve">s </w:t>
      </w:r>
      <w:r w:rsidR="0092045A">
        <w:t xml:space="preserve">asymptomatic. </w:t>
      </w:r>
      <w:r w:rsidR="004562E8">
        <w:t xml:space="preserve"> </w:t>
      </w:r>
      <w:r w:rsidR="00EC2E84">
        <w:t>For the purpose of clarity and consistency, t</w:t>
      </w:r>
      <w:r w:rsidR="00F1230A">
        <w:t>he Inquiry recommended that</w:t>
      </w:r>
      <w:r w:rsidR="00F52898">
        <w:t xml:space="preserve"> </w:t>
      </w:r>
      <w:r w:rsidR="0092045A">
        <w:t>antidiscrimination</w:t>
      </w:r>
      <w:r w:rsidR="00F52898">
        <w:t xml:space="preserve"> laws should be amended to apply </w:t>
      </w:r>
      <w:r w:rsidR="004562E8">
        <w:t xml:space="preserve">expressly </w:t>
      </w:r>
      <w:r w:rsidR="00F52898">
        <w:t xml:space="preserve">to discrimination based on </w:t>
      </w:r>
      <w:r w:rsidR="004562E8">
        <w:t>(real or perceived)</w:t>
      </w:r>
      <w:r w:rsidR="004562E8">
        <w:rPr>
          <w:rStyle w:val="FootnoteReference"/>
        </w:rPr>
        <w:footnoteReference w:id="8"/>
      </w:r>
      <w:r w:rsidR="004562E8">
        <w:t xml:space="preserve"> </w:t>
      </w:r>
      <w:r w:rsidR="00F52898">
        <w:t>genetic status.</w:t>
      </w:r>
      <w:r w:rsidR="0092045A">
        <w:t xml:space="preserve"> </w:t>
      </w:r>
      <w:r w:rsidR="004562E8">
        <w:t xml:space="preserve"> </w:t>
      </w:r>
      <w:r w:rsidR="0092045A">
        <w:t xml:space="preserve">In contrast to the approach later taken by the United States, </w:t>
      </w:r>
      <w:r w:rsidR="00F52898">
        <w:t xml:space="preserve">the Inquiry rejected </w:t>
      </w:r>
      <w:r w:rsidR="0092045A">
        <w:t>calls</w:t>
      </w:r>
      <w:r w:rsidR="00F52898">
        <w:t xml:space="preserve"> for a dedicated new ‘Genetic Non-Discrimination Act’</w:t>
      </w:r>
      <w:r w:rsidR="004562E8">
        <w:t>,</w:t>
      </w:r>
      <w:r w:rsidR="0092045A">
        <w:t xml:space="preserve"> consistent with its general approach </w:t>
      </w:r>
      <w:r w:rsidR="00515B0D">
        <w:t>to</w:t>
      </w:r>
      <w:r w:rsidR="0092045A">
        <w:t xml:space="preserve"> eschewing genetic </w:t>
      </w:r>
      <w:proofErr w:type="spellStart"/>
      <w:r w:rsidR="0092045A">
        <w:t>exceptionalism</w:t>
      </w:r>
      <w:proofErr w:type="spellEnd"/>
      <w:r w:rsidR="0092045A">
        <w:t>.</w:t>
      </w:r>
      <w:r w:rsidR="00515B0D">
        <w:rPr>
          <w:rStyle w:val="FootnoteReference"/>
        </w:rPr>
        <w:footnoteReference w:id="9"/>
      </w:r>
      <w:r w:rsidR="004562E8">
        <w:t xml:space="preserve">  </w:t>
      </w:r>
    </w:p>
    <w:p w:rsidR="00EC2E84" w:rsidRDefault="00E559CE" w:rsidP="00EC2E84">
      <w:r>
        <w:t>T</w:t>
      </w:r>
      <w:r w:rsidR="00F52898">
        <w:t xml:space="preserve">he </w:t>
      </w:r>
      <w:r w:rsidR="00C51EA4">
        <w:t>Inquiry</w:t>
      </w:r>
      <w:r w:rsidR="00F52898">
        <w:t xml:space="preserve"> also took a strongly interventionist approach to the use of genetic testing and information in the employment area</w:t>
      </w:r>
      <w:r w:rsidR="00A32DA0">
        <w:t xml:space="preserve">, expressing concern about the potential to create an unfortunate ‘genetic underclass’ of people who are actually fit to work but might be denied employment on the basis of predispositions to genetic conditions that might never eventuate. The Inquiry </w:t>
      </w:r>
      <w:r w:rsidR="00F52898">
        <w:t>recomm</w:t>
      </w:r>
      <w:r w:rsidR="00936873">
        <w:t>end</w:t>
      </w:r>
      <w:r w:rsidR="00A32DA0">
        <w:t>ed</w:t>
      </w:r>
      <w:r w:rsidR="00936873">
        <w:t xml:space="preserve"> that </w:t>
      </w:r>
      <w:r w:rsidR="00F52898">
        <w:t xml:space="preserve">employers </w:t>
      </w:r>
      <w:r w:rsidR="00A32DA0">
        <w:t xml:space="preserve">be barred from </w:t>
      </w:r>
      <w:r w:rsidR="00F52898">
        <w:t>collect</w:t>
      </w:r>
      <w:r w:rsidR="00A32DA0">
        <w:t>ing</w:t>
      </w:r>
      <w:r w:rsidR="00F52898">
        <w:t xml:space="preserve"> or us</w:t>
      </w:r>
      <w:r w:rsidR="00A32DA0">
        <w:t>ing</w:t>
      </w:r>
      <w:r w:rsidR="00F52898">
        <w:t xml:space="preserve"> genetic information in relation to jo</w:t>
      </w:r>
      <w:r>
        <w:t>b applicants and employees</w:t>
      </w:r>
      <w:r w:rsidR="00EC2E84">
        <w:t xml:space="preserve"> </w:t>
      </w:r>
      <w:r w:rsidR="00EC2E84" w:rsidRPr="00A32DA0">
        <w:rPr>
          <w:i/>
        </w:rPr>
        <w:t>except</w:t>
      </w:r>
      <w:r w:rsidR="00EC2E84">
        <w:t xml:space="preserve"> where th</w:t>
      </w:r>
      <w:r w:rsidR="00A32DA0">
        <w:t>at</w:t>
      </w:r>
      <w:r w:rsidR="00EC2E84">
        <w:t xml:space="preserve"> information is reasonably required for purposes that do not involve unlawful discrimination</w:t>
      </w:r>
      <w:r>
        <w:t>.</w:t>
      </w:r>
      <w:r w:rsidR="00A32DA0">
        <w:t xml:space="preserve">  </w:t>
      </w:r>
      <w:r w:rsidR="00EC2E84">
        <w:t xml:space="preserve">The </w:t>
      </w:r>
      <w:r w:rsidR="00EC2E84" w:rsidRPr="00EC2E84">
        <w:rPr>
          <w:i/>
        </w:rPr>
        <w:t>Disability Discrimination and Other Human Rights Legislation Amendment Act 2009</w:t>
      </w:r>
      <w:r w:rsidR="00EC2E84">
        <w:t xml:space="preserve"> (</w:t>
      </w:r>
      <w:proofErr w:type="spellStart"/>
      <w:r w:rsidR="00EC2E84">
        <w:t>Cth</w:t>
      </w:r>
      <w:proofErr w:type="spellEnd"/>
      <w:r w:rsidR="00EC2E84">
        <w:t>) implemented these recommendations.</w:t>
      </w:r>
    </w:p>
    <w:p w:rsidR="004D796C" w:rsidRDefault="002832EC" w:rsidP="00DC03B4">
      <w:r>
        <w:t xml:space="preserve">The Inquiry took a different approach in the context of </w:t>
      </w:r>
      <w:r w:rsidR="00936873">
        <w:t xml:space="preserve">the use of genetic information in </w:t>
      </w:r>
      <w:r>
        <w:t xml:space="preserve">insurance underwriting, </w:t>
      </w:r>
      <w:r w:rsidR="00343D35">
        <w:t xml:space="preserve">concerns about </w:t>
      </w:r>
      <w:r>
        <w:t xml:space="preserve">which </w:t>
      </w:r>
      <w:r w:rsidR="00343D35">
        <w:t>had been</w:t>
      </w:r>
      <w:r>
        <w:t xml:space="preserve"> </w:t>
      </w:r>
      <w:r w:rsidR="00343D35">
        <w:t>a key</w:t>
      </w:r>
      <w:r w:rsidR="009426C6">
        <w:t xml:space="preserve"> factor in the establishment of the </w:t>
      </w:r>
      <w:r w:rsidR="00343D35">
        <w:t>I</w:t>
      </w:r>
      <w:r>
        <w:t>nquiry</w:t>
      </w:r>
      <w:r w:rsidR="00936873">
        <w:t>.</w:t>
      </w:r>
      <w:r w:rsidR="00A32DA0">
        <w:t xml:space="preserve">  Under the federal </w:t>
      </w:r>
      <w:r w:rsidR="00A32DA0" w:rsidRPr="00A32DA0">
        <w:rPr>
          <w:i/>
        </w:rPr>
        <w:t>Disability Discrimination Act</w:t>
      </w:r>
      <w:r w:rsidR="00A32DA0">
        <w:t xml:space="preserve">, </w:t>
      </w:r>
      <w:r w:rsidR="00A32DA0" w:rsidRPr="00A32DA0">
        <w:rPr>
          <w:i/>
        </w:rPr>
        <w:t xml:space="preserve">Sex Discrimination Act </w:t>
      </w:r>
      <w:r w:rsidR="00A32DA0">
        <w:t xml:space="preserve">and </w:t>
      </w:r>
      <w:r w:rsidR="00A32DA0" w:rsidRPr="00A32DA0">
        <w:rPr>
          <w:i/>
        </w:rPr>
        <w:t>Age Discrimination Act</w:t>
      </w:r>
      <w:r w:rsidR="00A32DA0">
        <w:t xml:space="preserve"> (but, notably, </w:t>
      </w:r>
      <w:r w:rsidR="00A32DA0" w:rsidRPr="00A32DA0">
        <w:rPr>
          <w:i/>
        </w:rPr>
        <w:t>not</w:t>
      </w:r>
      <w:r w:rsidR="00A32DA0">
        <w:t xml:space="preserve"> the Race</w:t>
      </w:r>
      <w:r w:rsidR="00936873">
        <w:t xml:space="preserve"> </w:t>
      </w:r>
      <w:r w:rsidR="009D292B">
        <w:t xml:space="preserve">Discrimination Act), it is possible for insurance underwriters to make lawful (that is, non-invidious) distinctions among individuals for risk assessment purposes, but only where this is done on a scientifically accurate and actuarially relevant basis.  </w:t>
      </w:r>
    </w:p>
    <w:p w:rsidR="004D796C" w:rsidRDefault="009D292B" w:rsidP="00DC03B4">
      <w:r>
        <w:t xml:space="preserve">As noted above, health insurance is </w:t>
      </w:r>
      <w:proofErr w:type="gramStart"/>
      <w:r>
        <w:t>community-rated,</w:t>
      </w:r>
      <w:proofErr w:type="gramEnd"/>
      <w:r>
        <w:t xml:space="preserve"> and not individually risk-rated in Australia, there is a comprehensive public healthcare system, and there is also a compulsory, employment-based, superannuation system</w:t>
      </w:r>
      <w:r>
        <w:rPr>
          <w:rStyle w:val="FootnoteReference"/>
        </w:rPr>
        <w:footnoteReference w:id="10"/>
      </w:r>
      <w:r>
        <w:t>—so that only about 30 percent of Australians seek to purchase individually risk-rated products</w:t>
      </w:r>
      <w:r w:rsidR="004D796C">
        <w:t xml:space="preserve">, </w:t>
      </w:r>
      <w:r>
        <w:t>s</w:t>
      </w:r>
      <w:r w:rsidR="004D796C">
        <w:t xml:space="preserve">uch as life </w:t>
      </w:r>
      <w:r>
        <w:t xml:space="preserve">insurance </w:t>
      </w:r>
      <w:r w:rsidR="004D796C">
        <w:t xml:space="preserve">or income protection insurance.  Given that those products are quintessentially about identifying and weighing material risk factors, there are alternative investment strategies available, and there is realistic concern about ‘moral hazard’ in insurance markets if individuals were not required to disclose known health risks, the Inquiry took a less interventionist approach than it did in relation to the employment market.  </w:t>
      </w:r>
    </w:p>
    <w:p w:rsidR="00EA5F0C" w:rsidRDefault="004D796C" w:rsidP="00554E16">
      <w:r>
        <w:t xml:space="preserve">Instead, the Inquiry </w:t>
      </w:r>
      <w:r w:rsidR="00EA5F0C">
        <w:t xml:space="preserve">pushed for </w:t>
      </w:r>
      <w:r>
        <w:t xml:space="preserve">greater public scrutiny to ensure that the insurance industry is living up to its exemption under anti-discrimination laws and is basing its underwriting practices on cutting-edge genetic science and actuarial </w:t>
      </w:r>
      <w:r w:rsidR="00EA5F0C">
        <w:t xml:space="preserve">practices.  In order to test this, the Inquiry recommended that: better educational programs be developed for insurance agents, brokers and underwriters regarding genetics; all adverse underwriting decisions (whether refusal, exclusions, or increased premiums) be explained in writing to the applicant; and that dissatisfied applicants or policyholders be able to seek review of any </w:t>
      </w:r>
      <w:proofErr w:type="spellStart"/>
      <w:r w:rsidR="00EA5F0C">
        <w:t>unfavourable</w:t>
      </w:r>
      <w:proofErr w:type="spellEnd"/>
      <w:r w:rsidR="00EA5F0C">
        <w:t xml:space="preserve"> decision before an independent, low-cost, dispute </w:t>
      </w:r>
      <w:r w:rsidR="00EA5F0C">
        <w:lastRenderedPageBreak/>
        <w:t xml:space="preserve">resolution body established for this purpose, as an alternative to pursuing a complaint to the Australian Human Rights Commission or litigation in the federal courts.  </w:t>
      </w:r>
    </w:p>
    <w:p w:rsidR="00A32DA0" w:rsidRDefault="00EA5F0C" w:rsidP="00DC03B4">
      <w:r>
        <w:t xml:space="preserve">The HGAC is </w:t>
      </w:r>
      <w:r w:rsidR="00E217CB">
        <w:t xml:space="preserve">actively engaged </w:t>
      </w:r>
      <w:r>
        <w:t xml:space="preserve">with the insurance industry </w:t>
      </w:r>
      <w:r w:rsidR="00E217CB">
        <w:t xml:space="preserve">at present </w:t>
      </w:r>
      <w:r>
        <w:t>to see that all of these improvements are adopted.  The insurance industry also has been very cooperative in permitting an independent,</w:t>
      </w:r>
      <w:r>
        <w:rPr>
          <w:rStyle w:val="FootnoteReference"/>
        </w:rPr>
        <w:footnoteReference w:id="11"/>
      </w:r>
      <w:r>
        <w:t xml:space="preserve"> twice-yearly, survey of all risk-rated insurance applications</w:t>
      </w:r>
      <w:r w:rsidR="00E217CB">
        <w:t>,</w:t>
      </w:r>
      <w:r>
        <w:t xml:space="preserve"> to </w:t>
      </w:r>
      <w:r w:rsidR="00E217CB">
        <w:t>identify all instances in which genetic test information was disclosed, and to report on the handling of this information and on the outcomes.  This survey information is being used to indentify contentious issues and then to refine and improve industry educational and underwriting practices.</w:t>
      </w:r>
      <w:r w:rsidR="00E217CB">
        <w:rPr>
          <w:rStyle w:val="FootnoteReference"/>
        </w:rPr>
        <w:footnoteReference w:id="12"/>
      </w:r>
      <w:r w:rsidR="00E217CB">
        <w:t xml:space="preserve">  </w:t>
      </w:r>
    </w:p>
    <w:p w:rsidR="00DD5E89" w:rsidRDefault="00DD5E89" w:rsidP="00F52898">
      <w:pPr>
        <w:pStyle w:val="Heading1"/>
      </w:pPr>
      <w:r>
        <w:t>Human Gene Patents</w:t>
      </w:r>
    </w:p>
    <w:p w:rsidR="00BF3F35" w:rsidRDefault="00BF3F35" w:rsidP="00DD5E89">
      <w:pPr>
        <w:pStyle w:val="Heading2"/>
      </w:pPr>
      <w:r w:rsidRPr="00BF3F35">
        <w:t>ALRC 99: Genes &amp; Ingenuity</w:t>
      </w:r>
    </w:p>
    <w:p w:rsidR="00A41D7E" w:rsidRPr="006562D4" w:rsidRDefault="00E35F3A" w:rsidP="001D7403">
      <w:pPr>
        <w:spacing w:after="0"/>
        <w:rPr>
          <w:rFonts w:cstheme="minorHAnsi"/>
        </w:rPr>
      </w:pPr>
      <w:r w:rsidRPr="006562D4">
        <w:rPr>
          <w:rFonts w:cstheme="minorHAnsi"/>
        </w:rPr>
        <w:t xml:space="preserve">Gene patents have the potential to </w:t>
      </w:r>
      <w:r w:rsidR="00850C97">
        <w:rPr>
          <w:rFonts w:cstheme="minorHAnsi"/>
        </w:rPr>
        <w:t>im</w:t>
      </w:r>
      <w:r w:rsidRPr="006562D4">
        <w:rPr>
          <w:rFonts w:cstheme="minorHAnsi"/>
        </w:rPr>
        <w:t xml:space="preserve">pose a </w:t>
      </w:r>
      <w:r w:rsidR="00163160">
        <w:rPr>
          <w:rFonts w:cstheme="minorHAnsi"/>
        </w:rPr>
        <w:t xml:space="preserve">particularly </w:t>
      </w:r>
      <w:r w:rsidRPr="006562D4">
        <w:rPr>
          <w:rFonts w:cstheme="minorHAnsi"/>
        </w:rPr>
        <w:t>heavy burden on Australian Governments, given Australia’s public healthcare system</w:t>
      </w:r>
      <w:r w:rsidR="00E217CB">
        <w:rPr>
          <w:rFonts w:cstheme="minorHAnsi"/>
        </w:rPr>
        <w:t xml:space="preserve">. </w:t>
      </w:r>
      <w:r w:rsidR="00850C97">
        <w:rPr>
          <w:rFonts w:cstheme="minorHAnsi"/>
        </w:rPr>
        <w:t xml:space="preserve"> </w:t>
      </w:r>
      <w:r w:rsidR="00E217CB">
        <w:rPr>
          <w:rFonts w:cstheme="minorHAnsi"/>
        </w:rPr>
        <w:t>A small number of genetic tests are included in the federally-funded Medical Benefits Scheme (MBS), but t</w:t>
      </w:r>
      <w:r w:rsidR="00850C97">
        <w:rPr>
          <w:rFonts w:cstheme="minorHAnsi"/>
        </w:rPr>
        <w:t>he bulk of genetic tes</w:t>
      </w:r>
      <w:r w:rsidR="000D109E">
        <w:rPr>
          <w:rFonts w:cstheme="minorHAnsi"/>
        </w:rPr>
        <w:t>t</w:t>
      </w:r>
      <w:r w:rsidR="00850C97">
        <w:rPr>
          <w:rFonts w:cstheme="minorHAnsi"/>
        </w:rPr>
        <w:t>ing and relate</w:t>
      </w:r>
      <w:r w:rsidR="000D109E">
        <w:rPr>
          <w:rFonts w:cstheme="minorHAnsi"/>
        </w:rPr>
        <w:t>d</w:t>
      </w:r>
      <w:r w:rsidR="00850C97">
        <w:rPr>
          <w:rFonts w:cstheme="minorHAnsi"/>
        </w:rPr>
        <w:t xml:space="preserve"> clinical services are funded by state and territory governments</w:t>
      </w:r>
      <w:r w:rsidR="00A41D7E" w:rsidRPr="006562D4">
        <w:rPr>
          <w:rFonts w:cstheme="minorHAnsi"/>
        </w:rPr>
        <w:t>.</w:t>
      </w:r>
      <w:r w:rsidR="00665D65">
        <w:rPr>
          <w:rFonts w:cstheme="minorHAnsi"/>
        </w:rPr>
        <w:t xml:space="preserve"> </w:t>
      </w:r>
      <w:r w:rsidR="00D21676" w:rsidRPr="006562D4">
        <w:rPr>
          <w:rFonts w:cstheme="minorHAnsi"/>
        </w:rPr>
        <w:t xml:space="preserve"> </w:t>
      </w:r>
      <w:r w:rsidR="006562D4" w:rsidRPr="006562D4">
        <w:rPr>
          <w:rFonts w:cstheme="minorHAnsi"/>
        </w:rPr>
        <w:t>Attempts by Genetic Technologies</w:t>
      </w:r>
      <w:r w:rsidR="00850C97">
        <w:rPr>
          <w:rFonts w:cstheme="minorHAnsi"/>
        </w:rPr>
        <w:t xml:space="preserve"> (</w:t>
      </w:r>
      <w:r w:rsidR="00665D65">
        <w:rPr>
          <w:rFonts w:cstheme="minorHAnsi"/>
        </w:rPr>
        <w:t xml:space="preserve">or GTG, </w:t>
      </w:r>
      <w:r w:rsidR="00AD515B">
        <w:rPr>
          <w:rFonts w:cstheme="minorHAnsi"/>
        </w:rPr>
        <w:t xml:space="preserve">which was </w:t>
      </w:r>
      <w:r w:rsidR="00850C97">
        <w:rPr>
          <w:rFonts w:cstheme="minorHAnsi"/>
        </w:rPr>
        <w:t xml:space="preserve">granted an exclusive </w:t>
      </w:r>
      <w:proofErr w:type="spellStart"/>
      <w:r w:rsidR="00850C97">
        <w:rPr>
          <w:rFonts w:cstheme="minorHAnsi"/>
        </w:rPr>
        <w:t>licence</w:t>
      </w:r>
      <w:proofErr w:type="spellEnd"/>
      <w:r w:rsidR="00665D65">
        <w:rPr>
          <w:rFonts w:cstheme="minorHAnsi"/>
        </w:rPr>
        <w:t xml:space="preserve"> for Australia and New Zealand </w:t>
      </w:r>
      <w:r w:rsidR="00850C97">
        <w:rPr>
          <w:rFonts w:cstheme="minorHAnsi"/>
        </w:rPr>
        <w:t xml:space="preserve">by </w:t>
      </w:r>
      <w:r w:rsidR="00AD515B">
        <w:rPr>
          <w:rFonts w:cstheme="minorHAnsi"/>
        </w:rPr>
        <w:t xml:space="preserve">the </w:t>
      </w:r>
      <w:r w:rsidR="00665D65">
        <w:rPr>
          <w:rFonts w:cstheme="minorHAnsi"/>
        </w:rPr>
        <w:t xml:space="preserve">Utah-based </w:t>
      </w:r>
      <w:r w:rsidR="00850C97">
        <w:rPr>
          <w:rFonts w:cstheme="minorHAnsi"/>
        </w:rPr>
        <w:t>Myriad Genetics)</w:t>
      </w:r>
      <w:r w:rsidR="006562D4" w:rsidRPr="006562D4">
        <w:rPr>
          <w:rFonts w:cstheme="minorHAnsi"/>
        </w:rPr>
        <w:t xml:space="preserve"> in 2002-03 and </w:t>
      </w:r>
      <w:r w:rsidR="00665D65">
        <w:rPr>
          <w:rFonts w:cstheme="minorHAnsi"/>
        </w:rPr>
        <w:t xml:space="preserve">briefly again in </w:t>
      </w:r>
      <w:r w:rsidR="006562D4" w:rsidRPr="006562D4">
        <w:rPr>
          <w:rFonts w:cstheme="minorHAnsi"/>
        </w:rPr>
        <w:t>2008 to enforce its patent rights over the BRCA1 and BRCA2 genes have led to widespread gov</w:t>
      </w:r>
      <w:r w:rsidR="006562D4">
        <w:rPr>
          <w:rFonts w:cstheme="minorHAnsi"/>
        </w:rPr>
        <w:t xml:space="preserve">ernment </w:t>
      </w:r>
      <w:r w:rsidR="00665D65">
        <w:rPr>
          <w:rFonts w:cstheme="minorHAnsi"/>
        </w:rPr>
        <w:t xml:space="preserve">and </w:t>
      </w:r>
      <w:r w:rsidR="006562D4">
        <w:rPr>
          <w:rFonts w:cstheme="minorHAnsi"/>
        </w:rPr>
        <w:t xml:space="preserve">community concerns, </w:t>
      </w:r>
      <w:r w:rsidR="00665D65">
        <w:rPr>
          <w:rFonts w:cstheme="minorHAnsi"/>
        </w:rPr>
        <w:t>and extensive and adverse media coverage—t</w:t>
      </w:r>
      <w:r w:rsidR="006562D4">
        <w:rPr>
          <w:rFonts w:cstheme="minorHAnsi"/>
        </w:rPr>
        <w:t>riggering several public inquiries.</w:t>
      </w:r>
    </w:p>
    <w:p w:rsidR="00A41D7E" w:rsidRPr="006562D4" w:rsidRDefault="00A41D7E" w:rsidP="001D7403">
      <w:pPr>
        <w:spacing w:after="0"/>
        <w:rPr>
          <w:rFonts w:cstheme="minorHAnsi"/>
        </w:rPr>
      </w:pPr>
    </w:p>
    <w:p w:rsidR="005170E8" w:rsidRDefault="005170E8" w:rsidP="001D7403">
      <w:pPr>
        <w:spacing w:after="0"/>
        <w:rPr>
          <w:rFonts w:cstheme="minorHAnsi"/>
        </w:rPr>
      </w:pPr>
      <w:r w:rsidRPr="005170E8">
        <w:rPr>
          <w:rFonts w:cstheme="minorHAnsi"/>
        </w:rPr>
        <w:t>On 17 December 2002, the Australian Government asked the ALRC to conduct an inquiry into the relevant laws, international obligati</w:t>
      </w:r>
      <w:r w:rsidR="00797138">
        <w:rPr>
          <w:rFonts w:cstheme="minorHAnsi"/>
        </w:rPr>
        <w:t>ons and practices relating to gene patenting and human health</w:t>
      </w:r>
      <w:r w:rsidRPr="005170E8">
        <w:rPr>
          <w:rFonts w:cstheme="minorHAnsi"/>
        </w:rPr>
        <w:t xml:space="preserve">.  </w:t>
      </w:r>
      <w:r w:rsidR="00797138">
        <w:rPr>
          <w:rFonts w:cstheme="minorHAnsi"/>
        </w:rPr>
        <w:t>T</w:t>
      </w:r>
      <w:r w:rsidRPr="005170E8">
        <w:rPr>
          <w:rFonts w:cstheme="minorHAnsi"/>
        </w:rPr>
        <w:t xml:space="preserve">he ALRC’s 700 page report, </w:t>
      </w:r>
      <w:r w:rsidRPr="005170E8">
        <w:rPr>
          <w:rFonts w:cstheme="minorHAnsi"/>
          <w:i/>
        </w:rPr>
        <w:t>Genes and Ingenuity</w:t>
      </w:r>
      <w:r w:rsidRPr="005170E8">
        <w:rPr>
          <w:rFonts w:cstheme="minorHAnsi"/>
        </w:rPr>
        <w:t xml:space="preserve"> (ALRC 99, 2004)</w:t>
      </w:r>
      <w:r w:rsidR="00AD515B">
        <w:rPr>
          <w:rFonts w:cstheme="minorHAnsi"/>
        </w:rPr>
        <w:t>,</w:t>
      </w:r>
      <w:r w:rsidR="00C207E8">
        <w:rPr>
          <w:rStyle w:val="FootnoteReference"/>
          <w:rFonts w:cstheme="minorHAnsi"/>
        </w:rPr>
        <w:footnoteReference w:id="13"/>
      </w:r>
      <w:r w:rsidR="00AD515B">
        <w:rPr>
          <w:rFonts w:cstheme="minorHAnsi"/>
        </w:rPr>
        <w:t xml:space="preserve"> which again followed an extensive community consultation exercise,</w:t>
      </w:r>
      <w:r w:rsidRPr="005170E8">
        <w:rPr>
          <w:rFonts w:cstheme="minorHAnsi"/>
        </w:rPr>
        <w:t xml:space="preserve"> was tabled in Parliament in August 2004.  </w:t>
      </w:r>
    </w:p>
    <w:p w:rsidR="00AD515B" w:rsidRDefault="00AD515B" w:rsidP="001D7403">
      <w:pPr>
        <w:spacing w:after="0"/>
        <w:rPr>
          <w:rFonts w:cstheme="minorHAnsi"/>
        </w:rPr>
      </w:pPr>
    </w:p>
    <w:p w:rsidR="00C207E8" w:rsidRDefault="00C207E8" w:rsidP="001D7403">
      <w:pPr>
        <w:spacing w:after="0"/>
        <w:rPr>
          <w:rFonts w:cstheme="minorHAnsi"/>
        </w:rPr>
      </w:pPr>
      <w:r>
        <w:rPr>
          <w:rFonts w:cstheme="minorHAnsi"/>
        </w:rPr>
        <w:t xml:space="preserve">The ALRC was highly critical of the fact that overly broad patents had been granted in Australia and overseas in relation to pure gene sequences—the discovery of which would generally not satisfy the intellectual property requirements for an ‘invention’.  </w:t>
      </w:r>
      <w:r w:rsidR="00971673" w:rsidRPr="005170E8">
        <w:rPr>
          <w:rFonts w:cstheme="minorHAnsi"/>
        </w:rPr>
        <w:t xml:space="preserve">The ALRC made 50 recommendations for reform, including amendments to the </w:t>
      </w:r>
      <w:r w:rsidR="00971673" w:rsidRPr="00797138">
        <w:rPr>
          <w:rFonts w:cstheme="minorHAnsi"/>
          <w:i/>
        </w:rPr>
        <w:t>Patents Act</w:t>
      </w:r>
      <w:r w:rsidR="00971673" w:rsidRPr="005170E8">
        <w:rPr>
          <w:rFonts w:cstheme="minorHAnsi"/>
        </w:rPr>
        <w:t xml:space="preserve"> (</w:t>
      </w:r>
      <w:proofErr w:type="spellStart"/>
      <w:r w:rsidR="00971673" w:rsidRPr="005170E8">
        <w:rPr>
          <w:rFonts w:cstheme="minorHAnsi"/>
        </w:rPr>
        <w:t>Cth</w:t>
      </w:r>
      <w:proofErr w:type="spellEnd"/>
      <w:r w:rsidR="00971673" w:rsidRPr="005170E8">
        <w:rPr>
          <w:rFonts w:cstheme="minorHAnsi"/>
        </w:rPr>
        <w:t xml:space="preserve">) to upgrade the burden of proving ‘usefulness’ (utility)—and thus to sharpen the distinction between mere ‘discoveries’ and patentable ‘inventions’—and to provide an express ‘experimental use’ exemption for researchers.  </w:t>
      </w:r>
    </w:p>
    <w:p w:rsidR="00C207E8" w:rsidRDefault="00C207E8" w:rsidP="001D7403">
      <w:pPr>
        <w:spacing w:after="0"/>
        <w:rPr>
          <w:rFonts w:cstheme="minorHAnsi"/>
        </w:rPr>
      </w:pPr>
    </w:p>
    <w:p w:rsidR="00971673" w:rsidRPr="005170E8" w:rsidRDefault="00971673" w:rsidP="001D7403">
      <w:pPr>
        <w:spacing w:after="0"/>
        <w:rPr>
          <w:rFonts w:cstheme="minorHAnsi"/>
        </w:rPr>
      </w:pPr>
      <w:r w:rsidRPr="005170E8">
        <w:rPr>
          <w:rFonts w:cstheme="minorHAnsi"/>
        </w:rPr>
        <w:t xml:space="preserve">The ALRC also recommended a significant upgrading of the skills and resources available to the Patent Office </w:t>
      </w:r>
      <w:r w:rsidR="00C207E8">
        <w:rPr>
          <w:rFonts w:cstheme="minorHAnsi"/>
        </w:rPr>
        <w:t xml:space="preserve">(now ‘IP Australia’) </w:t>
      </w:r>
      <w:r w:rsidRPr="005170E8">
        <w:rPr>
          <w:rFonts w:cstheme="minorHAnsi"/>
        </w:rPr>
        <w:t xml:space="preserve">and patent examiners, and called for a more active and strategic approach by federal and state Governments </w:t>
      </w:r>
      <w:r w:rsidR="00C207E8">
        <w:rPr>
          <w:rFonts w:cstheme="minorHAnsi"/>
        </w:rPr>
        <w:t>to</w:t>
      </w:r>
      <w:r w:rsidRPr="005170E8">
        <w:rPr>
          <w:rFonts w:cstheme="minorHAnsi"/>
        </w:rPr>
        <w:t xml:space="preserve"> monitoring and challenging patents where appropriate, seeking to preserve the benefits of publicly-funded research, and using their existing legal powers more effectively (eg ‘Crown use’ rights and compulsory </w:t>
      </w:r>
      <w:proofErr w:type="spellStart"/>
      <w:r w:rsidRPr="005170E8">
        <w:rPr>
          <w:rFonts w:cstheme="minorHAnsi"/>
        </w:rPr>
        <w:t>licences</w:t>
      </w:r>
      <w:proofErr w:type="spellEnd"/>
      <w:r w:rsidRPr="005170E8">
        <w:rPr>
          <w:rFonts w:cstheme="minorHAnsi"/>
        </w:rPr>
        <w:t xml:space="preserve">).  </w:t>
      </w:r>
    </w:p>
    <w:p w:rsidR="00971673" w:rsidRPr="005170E8" w:rsidRDefault="00971673" w:rsidP="001D7403">
      <w:pPr>
        <w:spacing w:after="0"/>
        <w:rPr>
          <w:rFonts w:cstheme="minorHAnsi"/>
        </w:rPr>
      </w:pPr>
    </w:p>
    <w:p w:rsidR="00971673" w:rsidRPr="00A52888" w:rsidRDefault="00971673" w:rsidP="001D7403">
      <w:pPr>
        <w:spacing w:after="0"/>
        <w:rPr>
          <w:rFonts w:cstheme="minorHAnsi"/>
        </w:rPr>
      </w:pPr>
      <w:r w:rsidRPr="00A52888">
        <w:rPr>
          <w:rFonts w:cstheme="minorHAnsi"/>
        </w:rPr>
        <w:t>The ALRC’s findings and recommendations have been validated and adopted (expressly or coincidentally) by virtually all of the major international reports that have followed, including the OECD’s 2006 Guidelines for the Licensing of Genetic Inventions, and the US Government’s Gen</w:t>
      </w:r>
      <w:r w:rsidR="00797138">
        <w:rPr>
          <w:rFonts w:cstheme="minorHAnsi"/>
        </w:rPr>
        <w:t>e Patenting Task Force in 2009.</w:t>
      </w:r>
    </w:p>
    <w:p w:rsidR="00971673" w:rsidRPr="00A52888" w:rsidRDefault="00971673" w:rsidP="001D7403">
      <w:pPr>
        <w:spacing w:after="0"/>
        <w:rPr>
          <w:rFonts w:cstheme="minorHAnsi"/>
        </w:rPr>
      </w:pPr>
    </w:p>
    <w:p w:rsidR="00971673" w:rsidRDefault="00971673" w:rsidP="001D7403">
      <w:pPr>
        <w:spacing w:after="0"/>
        <w:rPr>
          <w:rFonts w:cstheme="minorHAnsi"/>
        </w:rPr>
      </w:pPr>
      <w:r w:rsidRPr="00A52888">
        <w:rPr>
          <w:rFonts w:cstheme="minorHAnsi"/>
        </w:rPr>
        <w:t>Remarkably</w:t>
      </w:r>
      <w:r w:rsidR="00750577">
        <w:rPr>
          <w:rFonts w:cstheme="minorHAnsi"/>
        </w:rPr>
        <w:t xml:space="preserve">, </w:t>
      </w:r>
      <w:r w:rsidR="00B75347">
        <w:rPr>
          <w:rFonts w:cstheme="minorHAnsi"/>
        </w:rPr>
        <w:t xml:space="preserve">however, </w:t>
      </w:r>
      <w:r w:rsidRPr="00A52888">
        <w:rPr>
          <w:rFonts w:cstheme="minorHAnsi"/>
        </w:rPr>
        <w:t xml:space="preserve">the Australian Government has still not </w:t>
      </w:r>
      <w:r w:rsidR="00C207E8">
        <w:rPr>
          <w:rFonts w:cstheme="minorHAnsi"/>
        </w:rPr>
        <w:t xml:space="preserve">formally </w:t>
      </w:r>
      <w:r w:rsidRPr="00A52888">
        <w:rPr>
          <w:rFonts w:cstheme="minorHAnsi"/>
        </w:rPr>
        <w:t xml:space="preserve">responded to the </w:t>
      </w:r>
      <w:r w:rsidRPr="00A52888">
        <w:rPr>
          <w:rFonts w:cstheme="minorHAnsi"/>
          <w:i/>
        </w:rPr>
        <w:t>Genes and Ingenuity</w:t>
      </w:r>
      <w:r w:rsidRPr="00A52888">
        <w:rPr>
          <w:rFonts w:cstheme="minorHAnsi"/>
        </w:rPr>
        <w:t xml:space="preserve"> report</w:t>
      </w:r>
      <w:r w:rsidR="00A52888" w:rsidRPr="00A52888">
        <w:rPr>
          <w:rFonts w:cstheme="minorHAnsi"/>
        </w:rPr>
        <w:t xml:space="preserve"> (despite many false alarms)</w:t>
      </w:r>
      <w:r w:rsidRPr="00A52888">
        <w:rPr>
          <w:rFonts w:cstheme="minorHAnsi"/>
        </w:rPr>
        <w:t xml:space="preserve">.  </w:t>
      </w:r>
    </w:p>
    <w:p w:rsidR="00797138" w:rsidRDefault="00797138" w:rsidP="001D7403">
      <w:pPr>
        <w:spacing w:after="0"/>
        <w:rPr>
          <w:rFonts w:cstheme="minorHAnsi"/>
        </w:rPr>
      </w:pPr>
    </w:p>
    <w:p w:rsidR="00797138" w:rsidRDefault="00797138" w:rsidP="001D7403">
      <w:pPr>
        <w:spacing w:after="0"/>
        <w:rPr>
          <w:rFonts w:cstheme="minorHAnsi"/>
        </w:rPr>
      </w:pPr>
      <w:r>
        <w:rPr>
          <w:rFonts w:cstheme="minorHAnsi"/>
        </w:rPr>
        <w:t xml:space="preserve">In </w:t>
      </w:r>
      <w:r w:rsidR="000D33B8">
        <w:rPr>
          <w:rFonts w:cstheme="minorHAnsi"/>
        </w:rPr>
        <w:t xml:space="preserve">November </w:t>
      </w:r>
      <w:r>
        <w:rPr>
          <w:rFonts w:cstheme="minorHAnsi"/>
        </w:rPr>
        <w:t>2010, the Australian Senate Community Affairs Reference</w:t>
      </w:r>
      <w:r w:rsidR="000D33B8">
        <w:rPr>
          <w:rFonts w:cstheme="minorHAnsi"/>
        </w:rPr>
        <w:t>s</w:t>
      </w:r>
      <w:r>
        <w:rPr>
          <w:rFonts w:cstheme="minorHAnsi"/>
        </w:rPr>
        <w:t xml:space="preserve"> Committee issued a separate report on gene patents,</w:t>
      </w:r>
      <w:r w:rsidR="000D33B8">
        <w:rPr>
          <w:rStyle w:val="FootnoteReference"/>
          <w:rFonts w:cstheme="minorHAnsi"/>
        </w:rPr>
        <w:footnoteReference w:id="14"/>
      </w:r>
      <w:r>
        <w:rPr>
          <w:rFonts w:cstheme="minorHAnsi"/>
        </w:rPr>
        <w:t xml:space="preserve"> which expressly </w:t>
      </w:r>
      <w:r w:rsidR="000D33B8">
        <w:rPr>
          <w:rFonts w:cstheme="minorHAnsi"/>
        </w:rPr>
        <w:t xml:space="preserve">recommended </w:t>
      </w:r>
      <w:r>
        <w:rPr>
          <w:rFonts w:cstheme="minorHAnsi"/>
        </w:rPr>
        <w:t xml:space="preserve">that the </w:t>
      </w:r>
      <w:r w:rsidR="000D33B8">
        <w:rPr>
          <w:rFonts w:cstheme="minorHAnsi"/>
        </w:rPr>
        <w:t>G</w:t>
      </w:r>
      <w:r>
        <w:rPr>
          <w:rFonts w:cstheme="minorHAnsi"/>
        </w:rPr>
        <w:t xml:space="preserve">overnment should </w:t>
      </w:r>
      <w:r w:rsidR="000D33B8">
        <w:rPr>
          <w:rFonts w:cstheme="minorHAnsi"/>
        </w:rPr>
        <w:t xml:space="preserve">implement </w:t>
      </w:r>
      <w:r>
        <w:rPr>
          <w:rFonts w:cstheme="minorHAnsi"/>
        </w:rPr>
        <w:t xml:space="preserve">the ALRC’s </w:t>
      </w:r>
      <w:r w:rsidR="000D33B8">
        <w:rPr>
          <w:rFonts w:cstheme="minorHAnsi"/>
        </w:rPr>
        <w:t xml:space="preserve">key </w:t>
      </w:r>
      <w:r>
        <w:rPr>
          <w:rFonts w:cstheme="minorHAnsi"/>
        </w:rPr>
        <w:t>recommendations</w:t>
      </w:r>
      <w:r w:rsidR="00DD5E89">
        <w:rPr>
          <w:rFonts w:cstheme="minorHAnsi"/>
        </w:rPr>
        <w:t>—as well as th</w:t>
      </w:r>
      <w:r w:rsidR="000D33B8">
        <w:rPr>
          <w:rFonts w:cstheme="minorHAnsi"/>
        </w:rPr>
        <w:t>os</w:t>
      </w:r>
      <w:r w:rsidR="00DD5E89">
        <w:rPr>
          <w:rFonts w:cstheme="minorHAnsi"/>
        </w:rPr>
        <w:t xml:space="preserve">e </w:t>
      </w:r>
      <w:r w:rsidR="000D33B8">
        <w:rPr>
          <w:rFonts w:cstheme="minorHAnsi"/>
        </w:rPr>
        <w:t xml:space="preserve">similar </w:t>
      </w:r>
      <w:r w:rsidR="00DD5E89">
        <w:rPr>
          <w:rFonts w:cstheme="minorHAnsi"/>
        </w:rPr>
        <w:t xml:space="preserve">recommendations </w:t>
      </w:r>
      <w:r w:rsidR="000D33B8">
        <w:rPr>
          <w:rFonts w:cstheme="minorHAnsi"/>
        </w:rPr>
        <w:t>from</w:t>
      </w:r>
      <w:r w:rsidR="00DD5E89">
        <w:rPr>
          <w:rFonts w:cstheme="minorHAnsi"/>
        </w:rPr>
        <w:t xml:space="preserve"> </w:t>
      </w:r>
      <w:r w:rsidR="000D33B8">
        <w:rPr>
          <w:rFonts w:cstheme="minorHAnsi"/>
        </w:rPr>
        <w:t xml:space="preserve">parallel </w:t>
      </w:r>
      <w:r w:rsidR="00DD5E89">
        <w:rPr>
          <w:rFonts w:cstheme="minorHAnsi"/>
        </w:rPr>
        <w:t>reviews by the Advisory Council on Intellectual Property and IP Australia—and use this response as the basis of future Commonwealth engagement with the patent system</w:t>
      </w:r>
      <w:r>
        <w:rPr>
          <w:rFonts w:cstheme="minorHAnsi"/>
        </w:rPr>
        <w:t>.</w:t>
      </w:r>
    </w:p>
    <w:p w:rsidR="00BF3F35" w:rsidRDefault="00EB6EF5" w:rsidP="00DD5E89">
      <w:pPr>
        <w:pStyle w:val="Heading2"/>
      </w:pPr>
      <w:r w:rsidRPr="00EB6EF5">
        <w:t>Patent Amendment (Human Genes and Biological Materials) Bill</w:t>
      </w:r>
    </w:p>
    <w:p w:rsidR="00EB6EF5" w:rsidRDefault="00C348BE" w:rsidP="00EB6EF5">
      <w:pPr>
        <w:rPr>
          <w:lang w:val="en-AU"/>
        </w:rPr>
      </w:pPr>
      <w:r>
        <w:rPr>
          <w:bCs/>
          <w:lang w:val="en-AU"/>
        </w:rPr>
        <w:t xml:space="preserve">The </w:t>
      </w:r>
      <w:r w:rsidRPr="00C348BE">
        <w:rPr>
          <w:bCs/>
        </w:rPr>
        <w:t>Patent Amendment (Human Genes and Biological Materials) Bill</w:t>
      </w:r>
      <w:r>
        <w:rPr>
          <w:bCs/>
        </w:rPr>
        <w:t xml:space="preserve"> was introduced as a</w:t>
      </w:r>
      <w:r w:rsidRPr="00C348BE">
        <w:rPr>
          <w:bCs/>
          <w:u w:val="single"/>
          <w:lang w:val="en-AU"/>
        </w:rPr>
        <w:t xml:space="preserve"> </w:t>
      </w:r>
      <w:r w:rsidR="00EB6EF5" w:rsidRPr="00C348BE">
        <w:rPr>
          <w:bCs/>
          <w:lang w:val="en-AU"/>
        </w:rPr>
        <w:t xml:space="preserve">Private Members Bill </w:t>
      </w:r>
      <w:r w:rsidR="00554E16">
        <w:rPr>
          <w:bCs/>
          <w:lang w:val="en-AU"/>
        </w:rPr>
        <w:t>by four non-Government Senators</w:t>
      </w:r>
      <w:r w:rsidR="00554E16">
        <w:rPr>
          <w:rStyle w:val="FootnoteReference"/>
          <w:bCs/>
          <w:lang w:val="en-AU"/>
        </w:rPr>
        <w:footnoteReference w:id="15"/>
      </w:r>
      <w:r w:rsidR="00554E16">
        <w:rPr>
          <w:bCs/>
          <w:lang w:val="en-AU"/>
        </w:rPr>
        <w:t xml:space="preserve"> </w:t>
      </w:r>
      <w:r w:rsidRPr="00C348BE">
        <w:rPr>
          <w:bCs/>
          <w:lang w:val="en-AU"/>
        </w:rPr>
        <w:t>on</w:t>
      </w:r>
      <w:r w:rsidR="00EB6EF5" w:rsidRPr="00C348BE">
        <w:rPr>
          <w:bCs/>
          <w:lang w:val="en-AU"/>
        </w:rPr>
        <w:t xml:space="preserve"> 24</w:t>
      </w:r>
      <w:r w:rsidRPr="00C348BE">
        <w:rPr>
          <w:bCs/>
          <w:lang w:val="en-AU"/>
        </w:rPr>
        <w:t xml:space="preserve"> November 2010</w:t>
      </w:r>
      <w:r>
        <w:rPr>
          <w:bCs/>
          <w:lang w:val="en-AU"/>
        </w:rPr>
        <w:t>, with the stated purpose of ‘advance[</w:t>
      </w:r>
      <w:proofErr w:type="spellStart"/>
      <w:r>
        <w:rPr>
          <w:bCs/>
          <w:lang w:val="en-AU"/>
        </w:rPr>
        <w:t>ing</w:t>
      </w:r>
      <w:proofErr w:type="spellEnd"/>
      <w:r>
        <w:rPr>
          <w:bCs/>
          <w:lang w:val="en-AU"/>
        </w:rPr>
        <w:t>]</w:t>
      </w:r>
      <w:r w:rsidRPr="00C348BE">
        <w:rPr>
          <w:lang w:val="en-AU"/>
        </w:rPr>
        <w:t xml:space="preserve"> </w:t>
      </w:r>
      <w:r w:rsidRPr="00EB6EF5">
        <w:rPr>
          <w:lang w:val="en-AU"/>
        </w:rPr>
        <w:t>medical and scientific research and the diagnosis, treatment and cure of human illness and disease by enabling doctors, clinicians and medical and scientific researchers to gain free and unfettered access to biological materials, however made, that are identical or substantially identical to such materials as they exist in nature’.</w:t>
      </w:r>
    </w:p>
    <w:p w:rsidR="00355842" w:rsidRPr="00EB6EF5" w:rsidRDefault="00F12B37" w:rsidP="00F12B37">
      <w:pPr>
        <w:rPr>
          <w:lang w:val="en-AU"/>
        </w:rPr>
      </w:pPr>
      <w:r>
        <w:rPr>
          <w:lang w:val="en-AU"/>
        </w:rPr>
        <w:t>The Bill proposes to introduce a</w:t>
      </w:r>
      <w:r w:rsidR="00971673" w:rsidRPr="00EB6EF5">
        <w:rPr>
          <w:lang w:val="en-AU"/>
        </w:rPr>
        <w:t xml:space="preserve"> new limb of </w:t>
      </w:r>
      <w:proofErr w:type="gramStart"/>
      <w:r w:rsidRPr="00EB6EF5">
        <w:rPr>
          <w:lang w:val="en-AU"/>
        </w:rPr>
        <w:t>s18(</w:t>
      </w:r>
      <w:proofErr w:type="gramEnd"/>
      <w:r w:rsidRPr="00EB6EF5">
        <w:rPr>
          <w:lang w:val="en-AU"/>
        </w:rPr>
        <w:t xml:space="preserve">2) </w:t>
      </w:r>
      <w:r>
        <w:rPr>
          <w:lang w:val="en-AU"/>
        </w:rPr>
        <w:t xml:space="preserve">of the </w:t>
      </w:r>
      <w:r w:rsidR="00971673" w:rsidRPr="00F12B37">
        <w:rPr>
          <w:i/>
          <w:lang w:val="en-AU"/>
        </w:rPr>
        <w:t>Patents Act</w:t>
      </w:r>
      <w:r w:rsidR="00971673" w:rsidRPr="00EB6EF5">
        <w:rPr>
          <w:lang w:val="en-AU"/>
        </w:rPr>
        <w:t xml:space="preserve"> </w:t>
      </w:r>
      <w:r>
        <w:rPr>
          <w:lang w:val="en-AU"/>
        </w:rPr>
        <w:t xml:space="preserve">(dealing with patentable inventions). The amended section </w:t>
      </w:r>
      <w:r w:rsidR="00971673" w:rsidRPr="00EB6EF5">
        <w:rPr>
          <w:lang w:val="en-AU"/>
        </w:rPr>
        <w:t>would provide</w:t>
      </w:r>
      <w:r>
        <w:rPr>
          <w:lang w:val="en-AU"/>
        </w:rPr>
        <w:t xml:space="preserve"> that</w:t>
      </w:r>
      <w:r w:rsidR="00971673" w:rsidRPr="00EB6EF5">
        <w:rPr>
          <w:lang w:val="en-AU"/>
        </w:rPr>
        <w:t>:</w:t>
      </w:r>
    </w:p>
    <w:p w:rsidR="00EB6EF5" w:rsidRPr="00EB6EF5" w:rsidRDefault="00EB6EF5" w:rsidP="00F12B37">
      <w:pPr>
        <w:ind w:left="720" w:hanging="720"/>
        <w:rPr>
          <w:lang w:val="en-AU"/>
        </w:rPr>
      </w:pPr>
      <w:r w:rsidRPr="00EB6EF5">
        <w:rPr>
          <w:lang w:val="en-AU"/>
        </w:rPr>
        <w:tab/>
        <w:t xml:space="preserve">The following are not patentable inventions: (a) human beings, and the biological processes for their generation; </w:t>
      </w:r>
      <w:r w:rsidRPr="00EB6EF5">
        <w:rPr>
          <w:b/>
          <w:bCs/>
          <w:lang w:val="en-AU"/>
        </w:rPr>
        <w:t>and</w:t>
      </w:r>
      <w:r w:rsidRPr="00EB6EF5">
        <w:rPr>
          <w:lang w:val="en-AU"/>
        </w:rPr>
        <w:t xml:space="preserve"> </w:t>
      </w:r>
      <w:r w:rsidRPr="00EB6EF5">
        <w:rPr>
          <w:b/>
          <w:bCs/>
          <w:lang w:val="en-AU"/>
        </w:rPr>
        <w:t>(b) biological materials including their components and derivatives, whether isolated or purified or not and however made, which are identical or substantially identical to such materials as they exist in nature.</w:t>
      </w:r>
    </w:p>
    <w:p w:rsidR="00355842" w:rsidRDefault="00F12B37" w:rsidP="00F12B37">
      <w:pPr>
        <w:rPr>
          <w:lang w:val="en-AU"/>
        </w:rPr>
      </w:pPr>
      <w:r>
        <w:rPr>
          <w:lang w:val="en-AU"/>
        </w:rPr>
        <w:t xml:space="preserve">The Bill </w:t>
      </w:r>
      <w:r w:rsidR="00554E16">
        <w:rPr>
          <w:lang w:val="en-AU"/>
        </w:rPr>
        <w:t xml:space="preserve">also </w:t>
      </w:r>
      <w:r>
        <w:rPr>
          <w:lang w:val="en-AU"/>
        </w:rPr>
        <w:t>would amend</w:t>
      </w:r>
      <w:r w:rsidR="00971673" w:rsidRPr="00EB6EF5">
        <w:rPr>
          <w:lang w:val="en-AU"/>
        </w:rPr>
        <w:t xml:space="preserve"> </w:t>
      </w:r>
      <w:proofErr w:type="gramStart"/>
      <w:r w:rsidR="00971673" w:rsidRPr="00EB6EF5">
        <w:rPr>
          <w:lang w:val="en-AU"/>
        </w:rPr>
        <w:t>s18(</w:t>
      </w:r>
      <w:proofErr w:type="gramEnd"/>
      <w:r w:rsidR="00971673" w:rsidRPr="00EB6EF5">
        <w:rPr>
          <w:lang w:val="en-AU"/>
        </w:rPr>
        <w:t>4) defines ‘biological materials’ to include  ‘DNA, RNA, proteins, cells and fluids’</w:t>
      </w:r>
      <w:r>
        <w:rPr>
          <w:lang w:val="en-AU"/>
        </w:rPr>
        <w:t>.</w:t>
      </w:r>
    </w:p>
    <w:p w:rsidR="00050EED" w:rsidRDefault="00554E16" w:rsidP="00F12B37">
      <w:pPr>
        <w:rPr>
          <w:lang w:val="en-AU"/>
        </w:rPr>
      </w:pPr>
      <w:r>
        <w:rPr>
          <w:lang w:val="en-AU"/>
        </w:rPr>
        <w:t xml:space="preserve">Although there is widespread sympathy for the general proposition, </w:t>
      </w:r>
      <w:r w:rsidR="00050EED">
        <w:rPr>
          <w:lang w:val="en-AU"/>
        </w:rPr>
        <w:t xml:space="preserve">the </w:t>
      </w:r>
      <w:r>
        <w:rPr>
          <w:lang w:val="en-AU"/>
        </w:rPr>
        <w:t xml:space="preserve">specific </w:t>
      </w:r>
      <w:r w:rsidR="00050EED">
        <w:rPr>
          <w:lang w:val="en-AU"/>
        </w:rPr>
        <w:t xml:space="preserve">Bill has provoked </w:t>
      </w:r>
      <w:r w:rsidR="00993A26">
        <w:rPr>
          <w:lang w:val="en-AU"/>
        </w:rPr>
        <w:t>heated</w:t>
      </w:r>
      <w:r w:rsidR="00050EED">
        <w:rPr>
          <w:lang w:val="en-AU"/>
        </w:rPr>
        <w:t xml:space="preserve"> controversy, including fears that its broad drafting would exclude from patentability</w:t>
      </w:r>
      <w:r w:rsidR="00993A26">
        <w:rPr>
          <w:lang w:val="en-AU"/>
        </w:rPr>
        <w:t xml:space="preserve"> a </w:t>
      </w:r>
      <w:r w:rsidR="00D9018E">
        <w:rPr>
          <w:lang w:val="en-AU"/>
        </w:rPr>
        <w:t>wide</w:t>
      </w:r>
      <w:r w:rsidR="00993A26">
        <w:rPr>
          <w:lang w:val="en-AU"/>
        </w:rPr>
        <w:t xml:space="preserve"> range of biological </w:t>
      </w:r>
      <w:r w:rsidR="00DC79AF">
        <w:rPr>
          <w:lang w:val="en-AU"/>
        </w:rPr>
        <w:t>materials that are routinely the subject of patents</w:t>
      </w:r>
      <w:r w:rsidR="00993A26">
        <w:rPr>
          <w:lang w:val="en-AU"/>
        </w:rPr>
        <w:t xml:space="preserve"> (for example, virus particles used in vaccines).</w:t>
      </w:r>
      <w:r>
        <w:rPr>
          <w:lang w:val="en-AU"/>
        </w:rPr>
        <w:t xml:space="preserve">  Consequently, the Bill, in its present form, has been strongly criticised by the Australian Academy of Sciences, the HGAC and others.  In any event, as a Private Members’ Bill without Government support, there is no prospect of it becoming law.  </w:t>
      </w:r>
    </w:p>
    <w:p w:rsidR="00050EED" w:rsidRPr="00050EED" w:rsidRDefault="00050EED" w:rsidP="00F12B37">
      <w:pPr>
        <w:rPr>
          <w:lang w:val="en-AU"/>
        </w:rPr>
      </w:pPr>
      <w:r w:rsidRPr="00050EED">
        <w:rPr>
          <w:lang w:val="en-AU"/>
        </w:rPr>
        <w:t xml:space="preserve">Relevantly, </w:t>
      </w:r>
      <w:r>
        <w:rPr>
          <w:lang w:val="en-AU"/>
        </w:rPr>
        <w:t xml:space="preserve">the Intellectual Property Amendment (Raising the Bar) Bill 2011 was introduced in Parliament in June 2011, which would, among other changes, raise thresholds for patentability in a </w:t>
      </w:r>
      <w:r>
        <w:rPr>
          <w:lang w:val="en-AU"/>
        </w:rPr>
        <w:lastRenderedPageBreak/>
        <w:t>technologically neutral manner and establish a broad research use exemption</w:t>
      </w:r>
      <w:r w:rsidR="00554E16">
        <w:rPr>
          <w:lang w:val="en-AU"/>
        </w:rPr>
        <w:t xml:space="preserve">—in keeping with the recommendations of the ALRC’s </w:t>
      </w:r>
      <w:r w:rsidR="00554E16" w:rsidRPr="00554E16">
        <w:rPr>
          <w:i/>
          <w:lang w:val="en-AU"/>
        </w:rPr>
        <w:t>Genes and Ingenuity</w:t>
      </w:r>
      <w:r w:rsidR="00554E16">
        <w:rPr>
          <w:lang w:val="en-AU"/>
        </w:rPr>
        <w:t xml:space="preserve"> report.  </w:t>
      </w:r>
    </w:p>
    <w:p w:rsidR="00DD5E89" w:rsidRPr="00EB6EF5" w:rsidRDefault="00DD5E89" w:rsidP="00DD5E89">
      <w:pPr>
        <w:pStyle w:val="Heading2"/>
        <w:rPr>
          <w:lang w:val="en-AU"/>
        </w:rPr>
      </w:pPr>
      <w:r>
        <w:rPr>
          <w:lang w:val="en-AU"/>
        </w:rPr>
        <w:t>Litigation</w:t>
      </w:r>
    </w:p>
    <w:p w:rsidR="00355842" w:rsidRPr="00EB6EF5" w:rsidRDefault="00075EE6" w:rsidP="00075EE6">
      <w:pPr>
        <w:rPr>
          <w:lang w:val="en-AU"/>
        </w:rPr>
      </w:pPr>
      <w:r>
        <w:rPr>
          <w:bCs/>
          <w:lang w:val="en-AU"/>
        </w:rPr>
        <w:t xml:space="preserve">Mirroring </w:t>
      </w:r>
      <w:r w:rsidR="00C27A2A">
        <w:rPr>
          <w:bCs/>
          <w:lang w:val="en-AU"/>
        </w:rPr>
        <w:t xml:space="preserve">the </w:t>
      </w:r>
      <w:r>
        <w:rPr>
          <w:bCs/>
          <w:lang w:val="en-AU"/>
        </w:rPr>
        <w:t xml:space="preserve">ongoing patent disputes in the United States, </w:t>
      </w:r>
      <w:r w:rsidR="00C27A2A">
        <w:rPr>
          <w:bCs/>
          <w:lang w:val="en-AU"/>
        </w:rPr>
        <w:t xml:space="preserve">such as the ACLU’s challenge to the Myriad patents, </w:t>
      </w:r>
      <w:r>
        <w:rPr>
          <w:bCs/>
          <w:lang w:val="en-AU"/>
        </w:rPr>
        <w:t>a consortium led by Cancer Voices Australia is challenging the validity of the BRCA1 and BRCA2 patents</w:t>
      </w:r>
      <w:r w:rsidR="00C27A2A">
        <w:rPr>
          <w:bCs/>
          <w:lang w:val="en-AU"/>
        </w:rPr>
        <w:t xml:space="preserve"> in the Australian courts</w:t>
      </w:r>
      <w:r>
        <w:rPr>
          <w:bCs/>
          <w:lang w:val="en-AU"/>
        </w:rPr>
        <w:t>.</w:t>
      </w:r>
      <w:r w:rsidR="00C27A2A">
        <w:rPr>
          <w:bCs/>
          <w:lang w:val="en-AU"/>
        </w:rPr>
        <w:t xml:space="preserve"> </w:t>
      </w:r>
      <w:r>
        <w:rPr>
          <w:bCs/>
          <w:lang w:val="en-AU"/>
        </w:rPr>
        <w:t xml:space="preserve"> The consortium is arguing that the </w:t>
      </w:r>
      <w:r w:rsidR="00C27A2A">
        <w:rPr>
          <w:lang w:val="en-AU"/>
        </w:rPr>
        <w:t xml:space="preserve">patent was incorrectly awarded in this case for </w:t>
      </w:r>
      <w:r>
        <w:rPr>
          <w:lang w:val="en-AU"/>
        </w:rPr>
        <w:t xml:space="preserve">mere </w:t>
      </w:r>
      <w:r w:rsidRPr="00EB6EF5">
        <w:rPr>
          <w:lang w:val="en-AU"/>
        </w:rPr>
        <w:t>discoveries, not ‘inventions’</w:t>
      </w:r>
      <w:r>
        <w:rPr>
          <w:lang w:val="en-AU"/>
        </w:rPr>
        <w:t xml:space="preserve">. </w:t>
      </w:r>
      <w:r w:rsidR="00C27A2A">
        <w:rPr>
          <w:lang w:val="en-AU"/>
        </w:rPr>
        <w:t xml:space="preserve"> </w:t>
      </w:r>
      <w:r>
        <w:rPr>
          <w:bCs/>
          <w:lang w:val="en-AU"/>
        </w:rPr>
        <w:t xml:space="preserve">The case, </w:t>
      </w:r>
      <w:r w:rsidR="00971673" w:rsidRPr="00075EE6">
        <w:rPr>
          <w:bCs/>
          <w:i/>
          <w:lang w:val="en-AU"/>
        </w:rPr>
        <w:t xml:space="preserve">Cancer Voices Australia &amp; </w:t>
      </w:r>
      <w:proofErr w:type="spellStart"/>
      <w:r w:rsidR="00971673" w:rsidRPr="00075EE6">
        <w:rPr>
          <w:bCs/>
          <w:i/>
          <w:lang w:val="en-AU"/>
        </w:rPr>
        <w:t>Anor</w:t>
      </w:r>
      <w:proofErr w:type="spellEnd"/>
      <w:r w:rsidR="00971673" w:rsidRPr="00075EE6">
        <w:rPr>
          <w:bCs/>
          <w:i/>
          <w:lang w:val="en-AU"/>
        </w:rPr>
        <w:t xml:space="preserve"> v Myriad Genetics &amp; Ors</w:t>
      </w:r>
      <w:r w:rsidR="00971673" w:rsidRPr="00075EE6">
        <w:rPr>
          <w:bCs/>
          <w:lang w:val="en-AU"/>
        </w:rPr>
        <w:t xml:space="preserve">, </w:t>
      </w:r>
      <w:r w:rsidRPr="00075EE6">
        <w:rPr>
          <w:bCs/>
          <w:lang w:val="en-AU"/>
        </w:rPr>
        <w:t>is</w:t>
      </w:r>
      <w:r>
        <w:rPr>
          <w:b/>
          <w:bCs/>
          <w:lang w:val="en-AU"/>
        </w:rPr>
        <w:t xml:space="preserve"> </w:t>
      </w:r>
      <w:r w:rsidR="00971673" w:rsidRPr="00EB6EF5">
        <w:rPr>
          <w:lang w:val="en-AU"/>
        </w:rPr>
        <w:t>pending in the Federal Court</w:t>
      </w:r>
      <w:r w:rsidR="00C27A2A">
        <w:rPr>
          <w:lang w:val="en-AU"/>
        </w:rPr>
        <w:t xml:space="preserve">, with the next appearance scheduled for </w:t>
      </w:r>
      <w:r w:rsidR="00971673" w:rsidRPr="00EB6EF5">
        <w:rPr>
          <w:lang w:val="en-AU"/>
        </w:rPr>
        <w:t xml:space="preserve">September 2011. </w:t>
      </w:r>
    </w:p>
    <w:p w:rsidR="00EB6EF5" w:rsidRDefault="0093418B" w:rsidP="0093418B">
      <w:pPr>
        <w:pStyle w:val="Heading1"/>
      </w:pPr>
      <w:r>
        <w:t>Direct-to-Consumer Genetic Testing</w:t>
      </w:r>
    </w:p>
    <w:p w:rsidR="00355842" w:rsidRDefault="00A73536" w:rsidP="00A73536">
      <w:pPr>
        <w:rPr>
          <w:lang w:val="en-AU"/>
        </w:rPr>
      </w:pPr>
      <w:r>
        <w:rPr>
          <w:lang w:val="en-AU"/>
        </w:rPr>
        <w:t xml:space="preserve">Compared to the United States, Australia has little in the way of DTC genetic testing. </w:t>
      </w:r>
      <w:r w:rsidR="00C27A2A">
        <w:rPr>
          <w:lang w:val="en-AU"/>
        </w:rPr>
        <w:t xml:space="preserve"> </w:t>
      </w:r>
      <w:r>
        <w:rPr>
          <w:lang w:val="en-AU"/>
        </w:rPr>
        <w:t xml:space="preserve">There are </w:t>
      </w:r>
      <w:r w:rsidR="00971673" w:rsidRPr="00EB6EF5">
        <w:rPr>
          <w:lang w:val="en-AU"/>
        </w:rPr>
        <w:t xml:space="preserve">5-6 private labs operating and marketing </w:t>
      </w:r>
      <w:r w:rsidR="00C27A2A">
        <w:rPr>
          <w:lang w:val="en-AU"/>
        </w:rPr>
        <w:t xml:space="preserve">their services </w:t>
      </w:r>
      <w:r>
        <w:rPr>
          <w:lang w:val="en-AU"/>
        </w:rPr>
        <w:t>in Australia</w:t>
      </w:r>
      <w:r w:rsidR="00971673" w:rsidRPr="00EB6EF5">
        <w:rPr>
          <w:lang w:val="en-AU"/>
        </w:rPr>
        <w:t xml:space="preserve">, but they </w:t>
      </w:r>
      <w:r w:rsidR="00C27A2A">
        <w:rPr>
          <w:lang w:val="en-AU"/>
        </w:rPr>
        <w:t xml:space="preserve">all </w:t>
      </w:r>
      <w:r w:rsidR="00971673" w:rsidRPr="00EB6EF5">
        <w:rPr>
          <w:lang w:val="en-AU"/>
        </w:rPr>
        <w:t xml:space="preserve">require </w:t>
      </w:r>
      <w:r>
        <w:rPr>
          <w:lang w:val="en-AU"/>
        </w:rPr>
        <w:t xml:space="preserve">some involvement from </w:t>
      </w:r>
      <w:r w:rsidR="00971673" w:rsidRPr="00EB6EF5">
        <w:rPr>
          <w:lang w:val="en-AU"/>
        </w:rPr>
        <w:t xml:space="preserve">a </w:t>
      </w:r>
      <w:r>
        <w:rPr>
          <w:lang w:val="en-AU"/>
        </w:rPr>
        <w:t xml:space="preserve">general practitioner </w:t>
      </w:r>
      <w:r w:rsidR="00971673" w:rsidRPr="00EB6EF5">
        <w:rPr>
          <w:lang w:val="en-AU"/>
        </w:rPr>
        <w:t>(‘yours or ours’)</w:t>
      </w:r>
      <w:r>
        <w:rPr>
          <w:lang w:val="en-AU"/>
        </w:rPr>
        <w:t>.</w:t>
      </w:r>
      <w:r w:rsidR="00C27A2A">
        <w:rPr>
          <w:lang w:val="en-AU"/>
        </w:rPr>
        <w:t xml:space="preserve"> </w:t>
      </w:r>
      <w:r>
        <w:rPr>
          <w:lang w:val="en-AU"/>
        </w:rPr>
        <w:t xml:space="preserve"> We are aware of o</w:t>
      </w:r>
      <w:r w:rsidR="00971673" w:rsidRPr="00EB6EF5">
        <w:rPr>
          <w:lang w:val="en-AU"/>
        </w:rPr>
        <w:t xml:space="preserve">ne </w:t>
      </w:r>
      <w:r>
        <w:rPr>
          <w:lang w:val="en-AU"/>
        </w:rPr>
        <w:t xml:space="preserve">start-up </w:t>
      </w:r>
      <w:r w:rsidR="00971673" w:rsidRPr="00EB6EF5">
        <w:rPr>
          <w:lang w:val="en-AU"/>
        </w:rPr>
        <w:t>DTC lab (</w:t>
      </w:r>
      <w:proofErr w:type="spellStart"/>
      <w:r w:rsidR="00971673" w:rsidRPr="00EB6EF5">
        <w:rPr>
          <w:lang w:val="en-AU"/>
        </w:rPr>
        <w:t>Lumigenix</w:t>
      </w:r>
      <w:proofErr w:type="spellEnd"/>
      <w:r>
        <w:rPr>
          <w:lang w:val="en-AU"/>
        </w:rPr>
        <w:t xml:space="preserve">), which is </w:t>
      </w:r>
      <w:r w:rsidR="00C27A2A">
        <w:rPr>
          <w:lang w:val="en-AU"/>
        </w:rPr>
        <w:t xml:space="preserve">currently </w:t>
      </w:r>
      <w:r>
        <w:rPr>
          <w:lang w:val="en-AU"/>
        </w:rPr>
        <w:t>seeking to establish itself</w:t>
      </w:r>
      <w:r w:rsidR="00C27A2A">
        <w:rPr>
          <w:lang w:val="en-AU"/>
        </w:rPr>
        <w:t xml:space="preserve"> in Australia</w:t>
      </w:r>
      <w:r>
        <w:rPr>
          <w:lang w:val="en-AU"/>
        </w:rPr>
        <w:t xml:space="preserve">. </w:t>
      </w:r>
      <w:r w:rsidR="00C27A2A">
        <w:rPr>
          <w:lang w:val="en-AU"/>
        </w:rPr>
        <w:t xml:space="preserve"> </w:t>
      </w:r>
      <w:r>
        <w:rPr>
          <w:lang w:val="en-AU"/>
        </w:rPr>
        <w:t xml:space="preserve">Some additional impetus in this regard came in 2010, when one private health insurer offered a 50% discount </w:t>
      </w:r>
      <w:r w:rsidR="00C27A2A">
        <w:rPr>
          <w:lang w:val="en-AU"/>
        </w:rPr>
        <w:t xml:space="preserve">to its </w:t>
      </w:r>
      <w:r>
        <w:rPr>
          <w:lang w:val="en-AU"/>
        </w:rPr>
        <w:t xml:space="preserve">members to purchase the </w:t>
      </w:r>
      <w:proofErr w:type="spellStart"/>
      <w:r>
        <w:rPr>
          <w:lang w:val="en-AU"/>
        </w:rPr>
        <w:t>Navigenics</w:t>
      </w:r>
      <w:proofErr w:type="spellEnd"/>
      <w:r>
        <w:rPr>
          <w:lang w:val="en-AU"/>
        </w:rPr>
        <w:t xml:space="preserve"> test</w:t>
      </w:r>
      <w:r w:rsidR="00C27A2A">
        <w:rPr>
          <w:lang w:val="en-AU"/>
        </w:rPr>
        <w:t>—but this attracted controversy when it transpired that no warning was provided in relation to potential implications for insurance and other collateral matters</w:t>
      </w:r>
      <w:r>
        <w:rPr>
          <w:lang w:val="en-AU"/>
        </w:rPr>
        <w:t>.</w:t>
      </w:r>
    </w:p>
    <w:p w:rsidR="00355842" w:rsidRDefault="00650465" w:rsidP="00650465">
      <w:pPr>
        <w:rPr>
          <w:lang w:val="en-AU"/>
        </w:rPr>
      </w:pPr>
      <w:r>
        <w:rPr>
          <w:lang w:val="en-AU"/>
        </w:rPr>
        <w:t>In July 2010</w:t>
      </w:r>
      <w:r w:rsidR="00BF6F0D">
        <w:rPr>
          <w:lang w:val="en-AU"/>
        </w:rPr>
        <w:t>, with almost nothing in the way of public attention or comment, the</w:t>
      </w:r>
      <w:r w:rsidR="00BF6F0D" w:rsidRPr="00BF6F0D">
        <w:rPr>
          <w:lang w:val="en-AU"/>
        </w:rPr>
        <w:t xml:space="preserve"> </w:t>
      </w:r>
      <w:r w:rsidR="00BF6F0D" w:rsidRPr="00EB6EF5">
        <w:rPr>
          <w:lang w:val="en-AU"/>
        </w:rPr>
        <w:t xml:space="preserve">Therapeutic Goods Administration </w:t>
      </w:r>
      <w:r w:rsidR="00BF6F0D">
        <w:rPr>
          <w:lang w:val="en-AU"/>
        </w:rPr>
        <w:t>(</w:t>
      </w:r>
      <w:r w:rsidR="00C27A2A">
        <w:rPr>
          <w:lang w:val="en-AU"/>
        </w:rPr>
        <w:t xml:space="preserve">roughly, the Australian </w:t>
      </w:r>
      <w:r w:rsidR="00BF6F0D">
        <w:rPr>
          <w:lang w:val="en-AU"/>
        </w:rPr>
        <w:t>equivalent</w:t>
      </w:r>
      <w:r w:rsidR="00C27A2A">
        <w:rPr>
          <w:lang w:val="en-AU"/>
        </w:rPr>
        <w:t xml:space="preserve"> of the FDA</w:t>
      </w:r>
      <w:r w:rsidR="00BF6F0D">
        <w:rPr>
          <w:lang w:val="en-AU"/>
        </w:rPr>
        <w:t>) announced a new framework for reviewing in-vitro diagnostics (IVDs)</w:t>
      </w:r>
      <w:r>
        <w:rPr>
          <w:lang w:val="en-AU"/>
        </w:rPr>
        <w:t>.</w:t>
      </w:r>
      <w:r w:rsidR="00C27A2A">
        <w:rPr>
          <w:lang w:val="en-AU"/>
        </w:rPr>
        <w:t xml:space="preserve"> </w:t>
      </w:r>
      <w:r>
        <w:rPr>
          <w:lang w:val="en-AU"/>
        </w:rPr>
        <w:t xml:space="preserve"> Most relevantly, h</w:t>
      </w:r>
      <w:r w:rsidR="00971673" w:rsidRPr="00EB6EF5">
        <w:rPr>
          <w:lang w:val="en-AU"/>
        </w:rPr>
        <w:t xml:space="preserve">uman genetic testing </w:t>
      </w:r>
      <w:r>
        <w:rPr>
          <w:lang w:val="en-AU"/>
        </w:rPr>
        <w:t>was assessed as posing a</w:t>
      </w:r>
      <w:r w:rsidR="00971673" w:rsidRPr="00EB6EF5">
        <w:rPr>
          <w:lang w:val="en-AU"/>
        </w:rPr>
        <w:t xml:space="preserve"> </w:t>
      </w:r>
      <w:r w:rsidR="00C27A2A">
        <w:rPr>
          <w:lang w:val="en-AU"/>
        </w:rPr>
        <w:t xml:space="preserve">potential </w:t>
      </w:r>
      <w:r w:rsidR="00971673" w:rsidRPr="00EB6EF5">
        <w:rPr>
          <w:lang w:val="en-AU"/>
        </w:rPr>
        <w:t>public health risk based on ‘possible stress and anxiety relating to the information and/or follow-up mea</w:t>
      </w:r>
      <w:r>
        <w:rPr>
          <w:lang w:val="en-AU"/>
        </w:rPr>
        <w:t xml:space="preserve">sures’. Accordingly, </w:t>
      </w:r>
      <w:r w:rsidR="000556AA">
        <w:rPr>
          <w:lang w:val="en-AU"/>
        </w:rPr>
        <w:t xml:space="preserve">the TGA classified genetic testing as a </w:t>
      </w:r>
      <w:r w:rsidR="00971673" w:rsidRPr="00EB6EF5">
        <w:rPr>
          <w:lang w:val="en-AU"/>
        </w:rPr>
        <w:t>‘Class 3 IVD’</w:t>
      </w:r>
      <w:r w:rsidR="000556AA">
        <w:rPr>
          <w:lang w:val="en-AU"/>
        </w:rPr>
        <w:t xml:space="preserve">, which permits it to impose </w:t>
      </w:r>
      <w:r w:rsidR="00971673" w:rsidRPr="00EB6EF5">
        <w:rPr>
          <w:lang w:val="en-AU"/>
        </w:rPr>
        <w:t>marketing and sale restrictions</w:t>
      </w:r>
      <w:r w:rsidR="000556AA">
        <w:rPr>
          <w:lang w:val="en-AU"/>
        </w:rPr>
        <w:t>.</w:t>
      </w:r>
    </w:p>
    <w:p w:rsidR="003A7D78" w:rsidRPr="00EB6EF5" w:rsidRDefault="003A7D78" w:rsidP="00650465">
      <w:pPr>
        <w:rPr>
          <w:lang w:val="en-AU"/>
        </w:rPr>
      </w:pPr>
      <w:r>
        <w:rPr>
          <w:lang w:val="en-AU"/>
        </w:rPr>
        <w:t xml:space="preserve">Ultimately, however, the ubiquity of the internet means that greatest impact on DTC genetic testing in Australia will stem from regulations imposed elsewhere—in particular, </w:t>
      </w:r>
      <w:r w:rsidR="00E17158">
        <w:rPr>
          <w:lang w:val="en-AU"/>
        </w:rPr>
        <w:t xml:space="preserve">in </w:t>
      </w:r>
      <w:r>
        <w:rPr>
          <w:lang w:val="en-AU"/>
        </w:rPr>
        <w:t>the United States.</w:t>
      </w:r>
    </w:p>
    <w:p w:rsidR="00EB6EF5" w:rsidRDefault="0093418B" w:rsidP="0093418B">
      <w:pPr>
        <w:pStyle w:val="Heading1"/>
      </w:pPr>
      <w:r>
        <w:t>Future</w:t>
      </w:r>
      <w:r w:rsidR="00EB6EF5" w:rsidRPr="00EB6EF5">
        <w:t xml:space="preserve"> issues</w:t>
      </w:r>
    </w:p>
    <w:p w:rsidR="00355842" w:rsidRPr="00EB6EF5" w:rsidRDefault="0093418B" w:rsidP="0093418B">
      <w:pPr>
        <w:pStyle w:val="Heading2"/>
        <w:rPr>
          <w:lang w:val="en-AU"/>
        </w:rPr>
      </w:pPr>
      <w:r>
        <w:rPr>
          <w:lang w:val="en-AU"/>
        </w:rPr>
        <w:t>C</w:t>
      </w:r>
      <w:r w:rsidR="00971673" w:rsidRPr="00EB6EF5">
        <w:rPr>
          <w:lang w:val="en-AU"/>
        </w:rPr>
        <w:t>oncerns of Indigenous peoples:</w:t>
      </w:r>
    </w:p>
    <w:p w:rsidR="00976ABD" w:rsidRDefault="00E17158" w:rsidP="00D12C6C">
      <w:pPr>
        <w:rPr>
          <w:lang w:val="en-AU"/>
        </w:rPr>
      </w:pPr>
      <w:r>
        <w:rPr>
          <w:lang w:val="en-AU"/>
        </w:rPr>
        <w:t>Indigenous Australians have raised particular concerns about the implications for them of the ‘new genetics’</w:t>
      </w:r>
      <w:r w:rsidR="00F541F6">
        <w:rPr>
          <w:lang w:val="en-AU"/>
        </w:rPr>
        <w:t xml:space="preserve">, </w:t>
      </w:r>
      <w:r w:rsidR="00976ABD">
        <w:rPr>
          <w:lang w:val="en-AU"/>
        </w:rPr>
        <w:t xml:space="preserve">especially in relation to ethical oversight of genetic research and benefit sharing (or at least the avoidance of further exploitation).  Indigenous Australians are severely disadvantaged by all socio-economic and health indicators, despite years of Government attention to the need to ‘bridge the gap’.  The NHMRC now has a separate </w:t>
      </w:r>
      <w:r w:rsidR="009A2060">
        <w:rPr>
          <w:lang w:val="en-AU"/>
        </w:rPr>
        <w:t>principal committee dedicated to Indigenous health and medical issues.  In the Northern Territory, which has the highest proportion of Indigenous people, the two main Human Research Ethics Committees</w:t>
      </w:r>
      <w:r w:rsidR="00ED0924">
        <w:rPr>
          <w:lang w:val="en-AU"/>
        </w:rPr>
        <w:t xml:space="preserve"> (HRECs)</w:t>
      </w:r>
      <w:r w:rsidR="009A2060">
        <w:rPr>
          <w:lang w:val="en-AU"/>
        </w:rPr>
        <w:t xml:space="preserve"> (in Darwin and Alice Springs) each have an Indigenous sub-committee with veto powers over proposed health and medical research.  </w:t>
      </w:r>
      <w:r w:rsidR="00ED0924">
        <w:rPr>
          <w:lang w:val="en-AU"/>
        </w:rPr>
        <w:t xml:space="preserve">In </w:t>
      </w:r>
      <w:r w:rsidR="00CF3A33">
        <w:rPr>
          <w:lang w:val="en-AU"/>
        </w:rPr>
        <w:lastRenderedPageBreak/>
        <w:t xml:space="preserve">most </w:t>
      </w:r>
      <w:bookmarkStart w:id="0" w:name="_GoBack"/>
      <w:bookmarkEnd w:id="0"/>
      <w:r w:rsidR="00ED0924">
        <w:rPr>
          <w:lang w:val="en-AU"/>
        </w:rPr>
        <w:t>other jurisdictions there are requirements for research</w:t>
      </w:r>
      <w:r w:rsidR="00CF3A33">
        <w:rPr>
          <w:lang w:val="en-AU"/>
        </w:rPr>
        <w:t xml:space="preserve"> projects</w:t>
      </w:r>
      <w:r w:rsidR="00ED0924">
        <w:rPr>
          <w:lang w:val="en-AU"/>
        </w:rPr>
        <w:t xml:space="preserve"> targeting Indigenous Australians to be reviewed by specialised HRECs</w:t>
      </w:r>
      <w:r w:rsidR="00CF3A33">
        <w:rPr>
          <w:lang w:val="en-AU"/>
        </w:rPr>
        <w:t xml:space="preserve"> in addition to the project’s standard HREC review</w:t>
      </w:r>
      <w:r w:rsidR="009A2060">
        <w:rPr>
          <w:lang w:val="en-AU"/>
        </w:rPr>
        <w:t>.</w:t>
      </w:r>
      <w:r w:rsidR="00CF3A33">
        <w:rPr>
          <w:rStyle w:val="FootnoteReference"/>
          <w:lang w:val="en-AU"/>
        </w:rPr>
        <w:footnoteReference w:id="16"/>
      </w:r>
      <w:r w:rsidR="009A2060">
        <w:rPr>
          <w:lang w:val="en-AU"/>
        </w:rPr>
        <w:t xml:space="preserve">  </w:t>
      </w:r>
    </w:p>
    <w:p w:rsidR="00D12C6C" w:rsidRDefault="009A2060" w:rsidP="00D12C6C">
      <w:pPr>
        <w:rPr>
          <w:lang w:val="en-AU"/>
        </w:rPr>
      </w:pPr>
      <w:r>
        <w:rPr>
          <w:lang w:val="en-AU"/>
        </w:rPr>
        <w:t xml:space="preserve">There are also considerable </w:t>
      </w:r>
      <w:r w:rsidR="00F541F6">
        <w:rPr>
          <w:lang w:val="en-AU"/>
        </w:rPr>
        <w:t xml:space="preserve">fears of </w:t>
      </w:r>
      <w:proofErr w:type="spellStart"/>
      <w:r w:rsidR="00F541F6">
        <w:rPr>
          <w:lang w:val="en-AU"/>
        </w:rPr>
        <w:t>biopiracy</w:t>
      </w:r>
      <w:proofErr w:type="spellEnd"/>
      <w:r>
        <w:rPr>
          <w:lang w:val="en-AU"/>
        </w:rPr>
        <w:t xml:space="preserve"> in Indigenous communities—and many stories, whether real or apocryphal, about fly-in/fly-out medical pillagers who take blood and tissue samples or collect native flora and fauna.  </w:t>
      </w:r>
      <w:r w:rsidR="00E17158">
        <w:rPr>
          <w:lang w:val="en-AU"/>
        </w:rPr>
        <w:t xml:space="preserve">One recent example </w:t>
      </w:r>
      <w:r w:rsidR="00F541F6">
        <w:rPr>
          <w:lang w:val="en-AU"/>
        </w:rPr>
        <w:t>that has generated media attention is</w:t>
      </w:r>
      <w:r w:rsidR="00D613EB">
        <w:rPr>
          <w:lang w:val="en-AU"/>
        </w:rPr>
        <w:t xml:space="preserve"> </w:t>
      </w:r>
      <w:r w:rsidR="00D613EB" w:rsidRPr="00D613EB">
        <w:rPr>
          <w:lang w:val="en-AU"/>
        </w:rPr>
        <w:t xml:space="preserve">a </w:t>
      </w:r>
      <w:r w:rsidR="00D613EB">
        <w:rPr>
          <w:lang w:val="en-AU"/>
        </w:rPr>
        <w:t>pending</w:t>
      </w:r>
      <w:r w:rsidR="00D613EB" w:rsidRPr="00D613EB">
        <w:rPr>
          <w:lang w:val="en-AU"/>
        </w:rPr>
        <w:t xml:space="preserve"> patent application by an American cosmetics </w:t>
      </w:r>
      <w:r w:rsidR="00D613EB">
        <w:rPr>
          <w:lang w:val="en-AU"/>
        </w:rPr>
        <w:t xml:space="preserve">company </w:t>
      </w:r>
      <w:r w:rsidR="000F49FF">
        <w:rPr>
          <w:lang w:val="en-AU"/>
        </w:rPr>
        <w:t>making claims over</w:t>
      </w:r>
      <w:r w:rsidR="00D613EB" w:rsidRPr="00D613EB">
        <w:rPr>
          <w:lang w:val="en-AU"/>
        </w:rPr>
        <w:t xml:space="preserve"> ingredients </w:t>
      </w:r>
      <w:r w:rsidR="00D613EB">
        <w:rPr>
          <w:lang w:val="en-AU"/>
        </w:rPr>
        <w:t xml:space="preserve">extracted </w:t>
      </w:r>
      <w:r w:rsidR="00D613EB" w:rsidRPr="00D613EB">
        <w:rPr>
          <w:lang w:val="en-AU"/>
        </w:rPr>
        <w:t>from the Kakadu plum</w:t>
      </w:r>
      <w:r w:rsidR="008C582E">
        <w:rPr>
          <w:lang w:val="en-AU"/>
        </w:rPr>
        <w:t>—a native fruit of Australia’s Northern Territory—</w:t>
      </w:r>
      <w:r w:rsidR="000F49FF">
        <w:rPr>
          <w:lang w:val="en-AU"/>
        </w:rPr>
        <w:t>for use in cosmetics</w:t>
      </w:r>
      <w:r w:rsidR="00D613EB" w:rsidRPr="00D613EB">
        <w:rPr>
          <w:lang w:val="en-AU"/>
        </w:rPr>
        <w:t>.</w:t>
      </w:r>
      <w:r w:rsidR="00D12C6C">
        <w:rPr>
          <w:lang w:val="en-AU"/>
        </w:rPr>
        <w:t xml:space="preserve"> </w:t>
      </w:r>
      <w:r w:rsidR="00C27A2A">
        <w:rPr>
          <w:lang w:val="en-AU"/>
        </w:rPr>
        <w:t xml:space="preserve"> </w:t>
      </w:r>
      <w:r w:rsidR="00D12C6C" w:rsidRPr="00D12C6C">
        <w:rPr>
          <w:lang w:val="en-AU"/>
        </w:rPr>
        <w:t xml:space="preserve">Indigenous groups </w:t>
      </w:r>
      <w:r w:rsidR="00D12C6C">
        <w:rPr>
          <w:lang w:val="en-AU"/>
        </w:rPr>
        <w:t xml:space="preserve">have long used the plum </w:t>
      </w:r>
      <w:r w:rsidR="00D12C6C" w:rsidRPr="00D12C6C">
        <w:rPr>
          <w:lang w:val="en-AU"/>
        </w:rPr>
        <w:t>as traditional medicine</w:t>
      </w:r>
      <w:r w:rsidR="00D12C6C">
        <w:rPr>
          <w:lang w:val="en-AU"/>
        </w:rPr>
        <w:t xml:space="preserve"> </w:t>
      </w:r>
      <w:r w:rsidR="00170C83">
        <w:rPr>
          <w:lang w:val="en-AU"/>
        </w:rPr>
        <w:t xml:space="preserve">and as part of traditional legends, </w:t>
      </w:r>
      <w:r w:rsidR="00D12C6C">
        <w:rPr>
          <w:lang w:val="en-AU"/>
        </w:rPr>
        <w:t xml:space="preserve">and </w:t>
      </w:r>
      <w:r w:rsidR="00170C83">
        <w:rPr>
          <w:lang w:val="en-AU"/>
        </w:rPr>
        <w:t xml:space="preserve">they </w:t>
      </w:r>
      <w:r w:rsidR="00D12C6C" w:rsidRPr="00D12C6C">
        <w:rPr>
          <w:lang w:val="en-AU"/>
        </w:rPr>
        <w:t>worry that the patent could prevent them from</w:t>
      </w:r>
      <w:r w:rsidR="00D12C6C">
        <w:rPr>
          <w:lang w:val="en-AU"/>
        </w:rPr>
        <w:t xml:space="preserve"> such use</w:t>
      </w:r>
      <w:r w:rsidR="00D12C6C" w:rsidRPr="00D12C6C">
        <w:rPr>
          <w:lang w:val="en-AU"/>
        </w:rPr>
        <w:t>.</w:t>
      </w:r>
    </w:p>
    <w:p w:rsidR="00976ABD" w:rsidRDefault="00795787" w:rsidP="00795787">
      <w:pPr>
        <w:rPr>
          <w:lang w:val="en-AU"/>
        </w:rPr>
      </w:pPr>
      <w:r>
        <w:rPr>
          <w:lang w:val="en-AU"/>
        </w:rPr>
        <w:t>Also contentious</w:t>
      </w:r>
      <w:r w:rsidR="008F1EE1">
        <w:rPr>
          <w:lang w:val="en-AU"/>
        </w:rPr>
        <w:t xml:space="preserve"> is the </w:t>
      </w:r>
      <w:r w:rsidR="00C27A2A">
        <w:rPr>
          <w:lang w:val="en-AU"/>
        </w:rPr>
        <w:t xml:space="preserve">possibly of using </w:t>
      </w:r>
      <w:r w:rsidR="008F1EE1" w:rsidRPr="00EB6EF5">
        <w:rPr>
          <w:lang w:val="en-AU"/>
        </w:rPr>
        <w:t xml:space="preserve">DNA </w:t>
      </w:r>
      <w:r w:rsidR="00C27A2A">
        <w:rPr>
          <w:lang w:val="en-AU"/>
        </w:rPr>
        <w:t xml:space="preserve">testing to constitute </w:t>
      </w:r>
      <w:r w:rsidR="008F1EE1" w:rsidRPr="00EB6EF5">
        <w:rPr>
          <w:lang w:val="en-AU"/>
        </w:rPr>
        <w:t>‘Aboriginality’</w:t>
      </w:r>
      <w:r w:rsidR="00C27A2A">
        <w:rPr>
          <w:lang w:val="en-AU"/>
        </w:rPr>
        <w:t xml:space="preserve">.  Unlike the United States and Canada, Australia has not used ‘blood rules’ </w:t>
      </w:r>
      <w:r w:rsidR="00976ABD">
        <w:rPr>
          <w:lang w:val="en-AU"/>
        </w:rPr>
        <w:t xml:space="preserve">to determine a person’s Indigenous identity, nor the rights and interests that flow from that (such as the right to make a claim for Native Title over land or water, or live on an Aboriginal Reserve, or vote in an election for representatives to the Indigenous self-determination body, or claim certain financial benefits or scholarships reserved for Indigenous people).  Rather, the position in Australia is that if an individual self-identifies as an Aboriginal person and is accepted by that community, then the law (courts, Government agencies etc) will recognise that fact.  </w:t>
      </w:r>
    </w:p>
    <w:p w:rsidR="00795787" w:rsidRPr="00795787" w:rsidRDefault="00976ABD" w:rsidP="00795787">
      <w:pPr>
        <w:rPr>
          <w:lang w:val="en-AU"/>
        </w:rPr>
      </w:pPr>
      <w:r>
        <w:rPr>
          <w:lang w:val="en-AU"/>
        </w:rPr>
        <w:t xml:space="preserve">The </w:t>
      </w:r>
      <w:r w:rsidR="008F1EE1">
        <w:rPr>
          <w:lang w:val="en-AU"/>
        </w:rPr>
        <w:t xml:space="preserve">issue that came up </w:t>
      </w:r>
      <w:r w:rsidR="0065777D">
        <w:rPr>
          <w:lang w:val="en-AU"/>
        </w:rPr>
        <w:t>during</w:t>
      </w:r>
      <w:r w:rsidR="008F1EE1" w:rsidRPr="008F1EE1">
        <w:rPr>
          <w:lang w:val="en-AU"/>
        </w:rPr>
        <w:t xml:space="preserve"> the </w:t>
      </w:r>
      <w:r w:rsidR="008F1EE1">
        <w:rPr>
          <w:lang w:val="en-AU"/>
        </w:rPr>
        <w:t>controvers</w:t>
      </w:r>
      <w:r w:rsidR="0065777D">
        <w:rPr>
          <w:lang w:val="en-AU"/>
        </w:rPr>
        <w:t>ial</w:t>
      </w:r>
      <w:r w:rsidR="00F02C4E">
        <w:rPr>
          <w:lang w:val="en-AU"/>
        </w:rPr>
        <w:t xml:space="preserve"> </w:t>
      </w:r>
      <w:r w:rsidR="008F1EE1">
        <w:rPr>
          <w:lang w:val="en-AU"/>
        </w:rPr>
        <w:t xml:space="preserve">1999 </w:t>
      </w:r>
      <w:r w:rsidR="008F1EE1" w:rsidRPr="008F1EE1">
        <w:rPr>
          <w:lang w:val="en-AU"/>
        </w:rPr>
        <w:t xml:space="preserve">Tasmanian election </w:t>
      </w:r>
      <w:r w:rsidR="008F1EE1">
        <w:rPr>
          <w:lang w:val="en-AU"/>
        </w:rPr>
        <w:t xml:space="preserve">for the </w:t>
      </w:r>
      <w:r w:rsidR="008F1EE1" w:rsidRPr="008F1EE1">
        <w:rPr>
          <w:lang w:val="en-AU"/>
        </w:rPr>
        <w:t>A</w:t>
      </w:r>
      <w:r w:rsidR="008F1EE1">
        <w:rPr>
          <w:lang w:val="en-AU"/>
        </w:rPr>
        <w:t>boriginal and Torres Strait Islander Commission</w:t>
      </w:r>
      <w:r w:rsidR="009A2060">
        <w:rPr>
          <w:lang w:val="en-AU"/>
        </w:rPr>
        <w:t xml:space="preserve"> (ATSIC)</w:t>
      </w:r>
      <w:r w:rsidR="00F02C4E">
        <w:rPr>
          <w:lang w:val="en-AU"/>
        </w:rPr>
        <w:t xml:space="preserve">, </w:t>
      </w:r>
      <w:r w:rsidR="00ED4C74">
        <w:rPr>
          <w:lang w:val="en-AU"/>
        </w:rPr>
        <w:t xml:space="preserve">during which </w:t>
      </w:r>
      <w:r w:rsidR="009A2060">
        <w:rPr>
          <w:lang w:val="en-AU"/>
        </w:rPr>
        <w:t>one local Aboriginal activist challeng</w:t>
      </w:r>
      <w:r w:rsidR="00ED4C74">
        <w:rPr>
          <w:lang w:val="en-AU"/>
        </w:rPr>
        <w:t>ed</w:t>
      </w:r>
      <w:r w:rsidR="009A2060">
        <w:rPr>
          <w:lang w:val="en-AU"/>
        </w:rPr>
        <w:t xml:space="preserve"> the bona fides of hundreds of individuals who were on the electoral rolls, having identified themselves as </w:t>
      </w:r>
      <w:r w:rsidR="008F1EE1" w:rsidRPr="008F1EE1">
        <w:rPr>
          <w:lang w:val="en-AU"/>
        </w:rPr>
        <w:t>Aboriginal</w:t>
      </w:r>
      <w:r w:rsidR="00ED4C74">
        <w:rPr>
          <w:lang w:val="en-AU"/>
        </w:rPr>
        <w:t xml:space="preserve"> people</w:t>
      </w:r>
      <w:r w:rsidR="008F1EE1" w:rsidRPr="008F1EE1">
        <w:rPr>
          <w:lang w:val="en-AU"/>
        </w:rPr>
        <w:t>.</w:t>
      </w:r>
      <w:r w:rsidR="0065777D">
        <w:rPr>
          <w:lang w:val="en-AU"/>
        </w:rPr>
        <w:t xml:space="preserve"> </w:t>
      </w:r>
      <w:r w:rsidR="009A2060">
        <w:rPr>
          <w:lang w:val="en-AU"/>
        </w:rPr>
        <w:t xml:space="preserve"> </w:t>
      </w:r>
      <w:r w:rsidR="00F02C4E">
        <w:rPr>
          <w:lang w:val="en-AU"/>
        </w:rPr>
        <w:t>S</w:t>
      </w:r>
      <w:r w:rsidR="008F1EE1" w:rsidRPr="008F1EE1">
        <w:rPr>
          <w:lang w:val="en-AU"/>
        </w:rPr>
        <w:t>ome disputants talked about using genetic testing as a means of proving their Aboriginal descent</w:t>
      </w:r>
      <w:r w:rsidR="00ED4C74">
        <w:rPr>
          <w:lang w:val="en-AU"/>
        </w:rPr>
        <w:t>, but in the end the matter didn’t proceed on this basis</w:t>
      </w:r>
      <w:r w:rsidR="008F1EE1" w:rsidRPr="008F1EE1">
        <w:rPr>
          <w:lang w:val="en-AU"/>
        </w:rPr>
        <w:t>.</w:t>
      </w:r>
      <w:r w:rsidR="009A2060">
        <w:rPr>
          <w:lang w:val="en-AU"/>
        </w:rPr>
        <w:t xml:space="preserve"> </w:t>
      </w:r>
      <w:r w:rsidR="00795787">
        <w:rPr>
          <w:lang w:val="en-AU"/>
        </w:rPr>
        <w:t xml:space="preserve"> </w:t>
      </w:r>
      <w:r w:rsidR="00ED4C74">
        <w:rPr>
          <w:lang w:val="en-AU"/>
        </w:rPr>
        <w:t>However, i</w:t>
      </w:r>
      <w:r w:rsidR="00795787">
        <w:rPr>
          <w:lang w:val="en-AU"/>
        </w:rPr>
        <w:t>ssues about the biological meaning of Aboriginality may continue in the future, given the element of ‘descent’, which in combination with self-identification and community recognition comprises the</w:t>
      </w:r>
      <w:r w:rsidR="00795787" w:rsidRPr="00795787">
        <w:rPr>
          <w:lang w:val="en-AU"/>
        </w:rPr>
        <w:t xml:space="preserve"> classic legal definition of an</w:t>
      </w:r>
      <w:r w:rsidR="00795787">
        <w:rPr>
          <w:lang w:val="en-AU"/>
        </w:rPr>
        <w:t xml:space="preserve"> </w:t>
      </w:r>
      <w:r w:rsidR="00795787" w:rsidRPr="00795787">
        <w:rPr>
          <w:lang w:val="en-AU"/>
        </w:rPr>
        <w:t>Aboriginal person</w:t>
      </w:r>
      <w:r w:rsidR="00795787">
        <w:rPr>
          <w:lang w:val="en-AU"/>
        </w:rPr>
        <w:t xml:space="preserve"> set out by </w:t>
      </w:r>
      <w:r w:rsidR="00795787" w:rsidRPr="00795787">
        <w:rPr>
          <w:lang w:val="en-AU"/>
        </w:rPr>
        <w:t xml:space="preserve">Justice Deane </w:t>
      </w:r>
      <w:r w:rsidR="00795787">
        <w:rPr>
          <w:lang w:val="en-AU"/>
        </w:rPr>
        <w:t xml:space="preserve">in </w:t>
      </w:r>
      <w:r w:rsidR="009A2060">
        <w:rPr>
          <w:lang w:val="en-AU"/>
        </w:rPr>
        <w:t xml:space="preserve">the </w:t>
      </w:r>
      <w:r w:rsidR="00ED4C74">
        <w:rPr>
          <w:lang w:val="en-AU"/>
        </w:rPr>
        <w:t xml:space="preserve">leading </w:t>
      </w:r>
      <w:r w:rsidR="009A2060">
        <w:rPr>
          <w:lang w:val="en-AU"/>
        </w:rPr>
        <w:t xml:space="preserve">High Court </w:t>
      </w:r>
      <w:r w:rsidR="00ED4C74">
        <w:rPr>
          <w:lang w:val="en-AU"/>
        </w:rPr>
        <w:t xml:space="preserve">of Australia decision </w:t>
      </w:r>
      <w:r w:rsidR="00795787" w:rsidRPr="00795787">
        <w:rPr>
          <w:i/>
          <w:lang w:val="en-AU"/>
        </w:rPr>
        <w:t>Commonwealth v. Tasmania</w:t>
      </w:r>
      <w:r w:rsidR="00795787" w:rsidRPr="00795787">
        <w:rPr>
          <w:lang w:val="en-AU"/>
        </w:rPr>
        <w:t xml:space="preserve"> (1983)</w:t>
      </w:r>
      <w:r w:rsidR="00795787">
        <w:rPr>
          <w:lang w:val="en-AU"/>
        </w:rPr>
        <w:t>.</w:t>
      </w:r>
    </w:p>
    <w:p w:rsidR="00355842" w:rsidRPr="00EB6EF5" w:rsidRDefault="00971673" w:rsidP="0093418B">
      <w:pPr>
        <w:pStyle w:val="Heading2"/>
        <w:rPr>
          <w:lang w:val="en-AU"/>
        </w:rPr>
      </w:pPr>
      <w:r w:rsidRPr="00EB6EF5">
        <w:rPr>
          <w:lang w:val="en-AU"/>
        </w:rPr>
        <w:t>International</w:t>
      </w:r>
      <w:r w:rsidR="00ED4C74">
        <w:rPr>
          <w:lang w:val="en-AU"/>
        </w:rPr>
        <w:t xml:space="preserve"> and </w:t>
      </w:r>
      <w:r w:rsidRPr="00EB6EF5">
        <w:rPr>
          <w:lang w:val="en-AU"/>
        </w:rPr>
        <w:t xml:space="preserve">regional cooperation  </w:t>
      </w:r>
    </w:p>
    <w:p w:rsidR="00ED4C74" w:rsidRDefault="00ED4C74" w:rsidP="00ED4C74">
      <w:pPr>
        <w:rPr>
          <w:lang w:val="en-AU"/>
        </w:rPr>
      </w:pPr>
      <w:r>
        <w:rPr>
          <w:lang w:val="en-AU"/>
        </w:rPr>
        <w:t xml:space="preserve">Australia has always been well-disposed to participate actively in international institutions, such as the United Nations and its constituent agencies—including UNESCO and the World Health Organisation—as well as in other international and regional groupings, including the OECD and APEC.  Australia is invariably represented when such bodies consider developing rules, guidelines or policies on genetics, health and society.  </w:t>
      </w:r>
    </w:p>
    <w:p w:rsidR="00ED4C74" w:rsidRDefault="00971673" w:rsidP="00ED4C74">
      <w:pPr>
        <w:rPr>
          <w:lang w:val="en-AU"/>
        </w:rPr>
      </w:pPr>
      <w:r w:rsidRPr="00EB6EF5">
        <w:rPr>
          <w:lang w:val="en-AU"/>
        </w:rPr>
        <w:t>Aust</w:t>
      </w:r>
      <w:r w:rsidR="00ED4C74">
        <w:rPr>
          <w:lang w:val="en-AU"/>
        </w:rPr>
        <w:t xml:space="preserve">ralia and </w:t>
      </w:r>
      <w:r w:rsidRPr="00EB6EF5">
        <w:rPr>
          <w:lang w:val="en-AU"/>
        </w:rPr>
        <w:t>N</w:t>
      </w:r>
      <w:r w:rsidR="00ED4C74">
        <w:rPr>
          <w:lang w:val="en-AU"/>
        </w:rPr>
        <w:t>ew Zealand formally have a Closer Economic Relations treaty and relationship, which provides generally for free trade, an open labour market, and joint regulation of certain economic markets (such as</w:t>
      </w:r>
      <w:r w:rsidR="00686984">
        <w:rPr>
          <w:lang w:val="en-AU"/>
        </w:rPr>
        <w:t xml:space="preserve"> by Food Standards</w:t>
      </w:r>
      <w:r w:rsidR="00ED4C74">
        <w:rPr>
          <w:lang w:val="en-AU"/>
        </w:rPr>
        <w:t xml:space="preserve"> Australia New Zealand)</w:t>
      </w:r>
      <w:r w:rsidR="00686984">
        <w:rPr>
          <w:lang w:val="en-AU"/>
        </w:rPr>
        <w:t xml:space="preserve">.  In the relevant area, there is also considerable informal regional discussion and cooperation, with an annual Australia New Zealand Roundtable on Genetics operating for the last few years, coordinated and supported by the New Zealand Law Foundation.  </w:t>
      </w:r>
    </w:p>
    <w:p w:rsidR="00E31425" w:rsidRDefault="006F307F" w:rsidP="00E31425">
      <w:pPr>
        <w:rPr>
          <w:lang w:val="en-AU"/>
        </w:rPr>
      </w:pPr>
      <w:r>
        <w:rPr>
          <w:lang w:val="en-AU"/>
        </w:rPr>
        <w:lastRenderedPageBreak/>
        <w:t>Australia also has a Free Trade Agreement with the United States (AUSFTA), which attracted controversy in the negotiating stages and early in its life, when the US put considerable pressure on Australia over its Pharmaceutical Benefits Scheme</w:t>
      </w:r>
      <w:r w:rsidR="00E31425">
        <w:rPr>
          <w:lang w:val="en-AU"/>
        </w:rPr>
        <w:t xml:space="preserve"> (PBS)</w:t>
      </w:r>
      <w:r>
        <w:rPr>
          <w:lang w:val="en-AU"/>
        </w:rPr>
        <w:t>—</w:t>
      </w:r>
      <w:r w:rsidR="00E31425">
        <w:rPr>
          <w:lang w:val="en-AU"/>
        </w:rPr>
        <w:t>effectively a monopsony (</w:t>
      </w:r>
      <w:r>
        <w:rPr>
          <w:lang w:val="en-AU"/>
        </w:rPr>
        <w:t>single payer</w:t>
      </w:r>
      <w:r w:rsidR="00E31425">
        <w:rPr>
          <w:lang w:val="en-AU"/>
        </w:rPr>
        <w:t xml:space="preserve">), which delivers inexpensive (or free) drugs to Australians because the Government can negotiate prices with pharmaceutical companies whose products are recommended for inclusion in the PBS by an expert committee(PBAC) that considers efficacy and cost.  Given the universally positive feelings about the benefits of the PBS among Australians—and across all party lines—there had to be an exchange of letters by the relevant Australian and American officials to state that the PBS would remain unaffected by the general language promoting free trade and limited Government intervention.  </w:t>
      </w:r>
    </w:p>
    <w:p w:rsidR="00ED4C74" w:rsidRDefault="00686984" w:rsidP="00ED4C74">
      <w:pPr>
        <w:rPr>
          <w:lang w:val="en-AU"/>
        </w:rPr>
      </w:pPr>
      <w:r>
        <w:rPr>
          <w:lang w:val="en-AU"/>
        </w:rPr>
        <w:t xml:space="preserve">Australia has also been relatively active in international and regional discussions (formal and informal, governmental and non-governmental) that develop on an ad hoc basis around particular issues, such as </w:t>
      </w:r>
      <w:proofErr w:type="spellStart"/>
      <w:r>
        <w:rPr>
          <w:lang w:val="en-AU"/>
        </w:rPr>
        <w:t>biobanking</w:t>
      </w:r>
      <w:proofErr w:type="spellEnd"/>
      <w:r>
        <w:rPr>
          <w:lang w:val="en-AU"/>
        </w:rPr>
        <w:t xml:space="preserve"> (in association with the UK, Singapore, Japan, Canada, China and others) as DTC genetics (in association with the US, UK, EU, Japan and others).  Given the ease of transporting genetic samples—and especially genetic information—across national borders, it will become increasingly critical to develop international standards and a high level of cooperation when it comes to protecting human integrity, privacy and other important rights and interests.  </w:t>
      </w:r>
    </w:p>
    <w:p w:rsidR="00EB6EF5" w:rsidRDefault="00EB6EF5"/>
    <w:sectPr w:rsidR="00EB6EF5" w:rsidSect="00D425E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6E0" w:rsidRDefault="00D416E0" w:rsidP="005A008D">
      <w:pPr>
        <w:spacing w:after="0" w:line="240" w:lineRule="auto"/>
      </w:pPr>
      <w:r>
        <w:separator/>
      </w:r>
    </w:p>
  </w:endnote>
  <w:endnote w:type="continuationSeparator" w:id="0">
    <w:p w:rsidR="00D416E0" w:rsidRDefault="00D416E0" w:rsidP="005A0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24660"/>
      <w:docPartObj>
        <w:docPartGallery w:val="Page Numbers (Bottom of Page)"/>
        <w:docPartUnique/>
      </w:docPartObj>
    </w:sdtPr>
    <w:sdtEndPr>
      <w:rPr>
        <w:noProof/>
      </w:rPr>
    </w:sdtEndPr>
    <w:sdtContent>
      <w:p w:rsidR="00ED0924" w:rsidRDefault="00172078">
        <w:pPr>
          <w:pStyle w:val="Footer"/>
          <w:jc w:val="right"/>
        </w:pPr>
        <w:r>
          <w:fldChar w:fldCharType="begin"/>
        </w:r>
        <w:r w:rsidR="00ED0924">
          <w:instrText xml:space="preserve"> PAGE   \* MERGEFORMAT </w:instrText>
        </w:r>
        <w:r>
          <w:fldChar w:fldCharType="separate"/>
        </w:r>
        <w:r w:rsidR="00487A7F">
          <w:rPr>
            <w:noProof/>
          </w:rPr>
          <w:t>1</w:t>
        </w:r>
        <w:r>
          <w:rPr>
            <w:noProof/>
          </w:rPr>
          <w:fldChar w:fldCharType="end"/>
        </w:r>
      </w:p>
    </w:sdtContent>
  </w:sdt>
  <w:p w:rsidR="00ED0924" w:rsidRDefault="00ED0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6E0" w:rsidRDefault="00D416E0" w:rsidP="005A008D">
      <w:pPr>
        <w:spacing w:after="0" w:line="240" w:lineRule="auto"/>
      </w:pPr>
      <w:r>
        <w:separator/>
      </w:r>
    </w:p>
  </w:footnote>
  <w:footnote w:type="continuationSeparator" w:id="0">
    <w:p w:rsidR="00D416E0" w:rsidRDefault="00D416E0" w:rsidP="005A008D">
      <w:pPr>
        <w:spacing w:after="0" w:line="240" w:lineRule="auto"/>
      </w:pPr>
      <w:r>
        <w:continuationSeparator/>
      </w:r>
    </w:p>
  </w:footnote>
  <w:footnote w:id="1">
    <w:p w:rsidR="00ED0924" w:rsidRDefault="00ED0924" w:rsidP="00552736">
      <w:pPr>
        <w:pStyle w:val="FootnoteText"/>
        <w:ind w:left="720" w:hanging="720"/>
      </w:pPr>
      <w:r>
        <w:rPr>
          <w:rStyle w:val="FootnoteReference"/>
        </w:rPr>
        <w:footnoteRef/>
      </w:r>
      <w:r>
        <w:t xml:space="preserve"> </w:t>
      </w:r>
      <w:r>
        <w:tab/>
      </w:r>
      <w:r>
        <w:rPr>
          <w:bCs/>
        </w:rPr>
        <w:t xml:space="preserve">In order to keep the premiums at an affordable level—and especially to encourage younger and healthier people into the private health insurance pool—the federal Government provides a direct subsidy of more than $2B per annum, plus a number of related tax concessions and penalties.  </w:t>
      </w:r>
    </w:p>
  </w:footnote>
  <w:footnote w:id="2">
    <w:p w:rsidR="00ED0924" w:rsidRDefault="00ED0924" w:rsidP="00BF3066">
      <w:pPr>
        <w:pStyle w:val="FootnoteText"/>
        <w:ind w:left="720" w:hanging="720"/>
      </w:pPr>
      <w:r>
        <w:rPr>
          <w:rStyle w:val="FootnoteReference"/>
        </w:rPr>
        <w:footnoteRef/>
      </w:r>
      <w:r>
        <w:t xml:space="preserve">. </w:t>
      </w:r>
      <w:r>
        <w:tab/>
        <w:t xml:space="preserve">Michael Kirby, “Foreword”, </w:t>
      </w:r>
      <w:proofErr w:type="gramStart"/>
      <w:r>
        <w:rPr>
          <w:i/>
        </w:rPr>
        <w:t>The</w:t>
      </w:r>
      <w:proofErr w:type="gramEnd"/>
      <w:r>
        <w:rPr>
          <w:i/>
        </w:rPr>
        <w:t xml:space="preserve"> Speeches of The Honourable Justice M D Kirby, CMG – Volume 1, 1975-1976</w:t>
      </w:r>
      <w:r>
        <w:t xml:space="preserve"> </w:t>
      </w:r>
      <w:r w:rsidRPr="00366187">
        <w:t>(ALRC, 1986) pp 2-3.</w:t>
      </w:r>
    </w:p>
  </w:footnote>
  <w:footnote w:id="3">
    <w:p w:rsidR="00ED0924" w:rsidRDefault="00ED0924" w:rsidP="00D53A75">
      <w:pPr>
        <w:pStyle w:val="FootnoteText"/>
        <w:ind w:left="720" w:hanging="720"/>
      </w:pPr>
      <w:r>
        <w:rPr>
          <w:rStyle w:val="FootnoteReference"/>
        </w:rPr>
        <w:footnoteRef/>
      </w:r>
      <w:r>
        <w:t xml:space="preserve">  </w:t>
      </w:r>
      <w:r>
        <w:tab/>
        <w:t xml:space="preserve">David Weisbrot, </w:t>
      </w:r>
      <w:r w:rsidRPr="00D53A75">
        <w:t xml:space="preserve">“Michael Kirby and Law Reform, Australian-Style” in Ian </w:t>
      </w:r>
      <w:proofErr w:type="spellStart"/>
      <w:r w:rsidRPr="00D53A75">
        <w:t>Freckelton</w:t>
      </w:r>
      <w:proofErr w:type="spellEnd"/>
      <w:r w:rsidRPr="00D53A75">
        <w:t xml:space="preserve"> and Hugh Selby (</w:t>
      </w:r>
      <w:proofErr w:type="spellStart"/>
      <w:proofErr w:type="gramStart"/>
      <w:r w:rsidRPr="00D53A75">
        <w:t>eds</w:t>
      </w:r>
      <w:proofErr w:type="spellEnd"/>
      <w:proofErr w:type="gramEnd"/>
      <w:r w:rsidRPr="00D53A75">
        <w:t xml:space="preserve">), </w:t>
      </w:r>
      <w:r w:rsidRPr="00D53A75">
        <w:rPr>
          <w:i/>
        </w:rPr>
        <w:t xml:space="preserve">Appealing to Future: The Legacy of </w:t>
      </w:r>
      <w:r w:rsidRPr="00D53A75">
        <w:rPr>
          <w:i/>
          <w:iCs/>
        </w:rPr>
        <w:t xml:space="preserve">Michael Kirby </w:t>
      </w:r>
      <w:r w:rsidRPr="00D53A75">
        <w:t>(</w:t>
      </w:r>
      <w:proofErr w:type="spellStart"/>
      <w:r w:rsidRPr="00D53A75">
        <w:t>Thomsons</w:t>
      </w:r>
      <w:proofErr w:type="spellEnd"/>
      <w:r w:rsidRPr="00D53A75">
        <w:t>, 2009) Ch 24, 607-637.</w:t>
      </w:r>
      <w:r>
        <w:t xml:space="preserve">  </w:t>
      </w:r>
    </w:p>
  </w:footnote>
  <w:footnote w:id="4">
    <w:p w:rsidR="00ED0924" w:rsidRDefault="00ED0924">
      <w:pPr>
        <w:pStyle w:val="FootnoteText"/>
      </w:pPr>
      <w:r>
        <w:rPr>
          <w:rStyle w:val="FootnoteReference"/>
        </w:rPr>
        <w:footnoteRef/>
      </w:r>
      <w:r>
        <w:t xml:space="preserve">  </w:t>
      </w:r>
      <w:r>
        <w:tab/>
        <w:t xml:space="preserve">The </w:t>
      </w:r>
      <w:proofErr w:type="spellStart"/>
      <w:r>
        <w:t>geneticised</w:t>
      </w:r>
      <w:proofErr w:type="spellEnd"/>
      <w:r>
        <w:t xml:space="preserve"> future depicted in the popular film ‘</w:t>
      </w:r>
      <w:proofErr w:type="spellStart"/>
      <w:r>
        <w:t>Gattaca</w:t>
      </w:r>
      <w:proofErr w:type="spellEnd"/>
      <w:r>
        <w:t xml:space="preserve">’ was often referred to in consultations. </w:t>
      </w:r>
    </w:p>
  </w:footnote>
  <w:footnote w:id="5">
    <w:p w:rsidR="00ED0924" w:rsidRDefault="00ED0924" w:rsidP="00AD515B">
      <w:pPr>
        <w:pStyle w:val="FootnoteText"/>
        <w:ind w:left="720" w:hanging="720"/>
      </w:pPr>
      <w:r>
        <w:rPr>
          <w:rStyle w:val="FootnoteReference"/>
        </w:rPr>
        <w:footnoteRef/>
      </w:r>
      <w:r>
        <w:t xml:space="preserve">  </w:t>
      </w:r>
      <w:r>
        <w:tab/>
        <w:t xml:space="preserve">Australian Law Reform Commission, </w:t>
      </w:r>
      <w:r w:rsidRPr="00AD515B">
        <w:rPr>
          <w:i/>
        </w:rPr>
        <w:t>Essentially Yours: the Protection of Human Genetic Information in Australia</w:t>
      </w:r>
      <w:r>
        <w:t xml:space="preserve"> (ALRC 96, 2003), available at &lt;</w:t>
      </w:r>
      <w:hyperlink r:id="rId1" w:history="1">
        <w:r w:rsidRPr="006007C7">
          <w:rPr>
            <w:rStyle w:val="Hyperlink"/>
          </w:rPr>
          <w:t>http://www.alrc.gov.au/publications/report-96</w:t>
        </w:r>
      </w:hyperlink>
      <w:proofErr w:type="gramStart"/>
      <w:r>
        <w:t>&gt;  (</w:t>
      </w:r>
      <w:proofErr w:type="gramEnd"/>
      <w:r>
        <w:t xml:space="preserve">accessed 4 July 2011).  </w:t>
      </w:r>
    </w:p>
  </w:footnote>
  <w:footnote w:id="6">
    <w:p w:rsidR="00ED0924" w:rsidRDefault="00ED0924" w:rsidP="0028236A">
      <w:pPr>
        <w:pStyle w:val="FootnoteText"/>
        <w:ind w:left="720" w:hanging="720"/>
      </w:pPr>
      <w:r>
        <w:rPr>
          <w:rStyle w:val="FootnoteReference"/>
        </w:rPr>
        <w:footnoteRef/>
      </w:r>
      <w:r>
        <w:t xml:space="preserve"> </w:t>
      </w:r>
      <w:r>
        <w:tab/>
        <w:t xml:space="preserve">SCAG is comprised of representatives from each state and territory and from the Commonwealth; on relevant issues, the Attorney-General of New Zealand is also represented.  </w:t>
      </w:r>
    </w:p>
  </w:footnote>
  <w:footnote w:id="7">
    <w:p w:rsidR="00ED0924" w:rsidRDefault="00ED0924" w:rsidP="00C94409">
      <w:pPr>
        <w:pStyle w:val="FootnoteText"/>
        <w:ind w:left="720" w:hanging="720"/>
      </w:pPr>
      <w:r>
        <w:rPr>
          <w:rStyle w:val="FootnoteReference"/>
        </w:rPr>
        <w:footnoteRef/>
      </w:r>
      <w:r>
        <w:t xml:space="preserve">  </w:t>
      </w:r>
      <w:r>
        <w:tab/>
        <w:t>Available at &lt;</w:t>
      </w:r>
      <w:r w:rsidRPr="00C94409">
        <w:t>http://www.ag.gov.au/www/agd/agd.nsf/Page/Modelcriminalcode_Non-ConsensualGeneticTestingDiscussionPaper</w:t>
      </w:r>
      <w:r>
        <w:t>&gt; (accessed 4 July 2011)</w:t>
      </w:r>
    </w:p>
  </w:footnote>
  <w:footnote w:id="8">
    <w:p w:rsidR="00ED0924" w:rsidRDefault="00ED0924" w:rsidP="004562E8">
      <w:pPr>
        <w:pStyle w:val="FootnoteText"/>
        <w:ind w:left="720" w:hanging="720"/>
      </w:pPr>
      <w:r>
        <w:rPr>
          <w:rStyle w:val="FootnoteReference"/>
        </w:rPr>
        <w:footnoteRef/>
      </w:r>
      <w:r>
        <w:t xml:space="preserve">  </w:t>
      </w:r>
      <w:r>
        <w:tab/>
        <w:t xml:space="preserve">The Inquiry heard concerns about alleged discrimination against individuals who, for example, were from a ‘known Huntington’s disease family’, whether or not the particular individual shared this familial predisposition.   </w:t>
      </w:r>
    </w:p>
  </w:footnote>
  <w:footnote w:id="9">
    <w:p w:rsidR="00ED0924" w:rsidRDefault="00ED0924" w:rsidP="00515B0D">
      <w:pPr>
        <w:pStyle w:val="FootnoteText"/>
        <w:ind w:left="720" w:hanging="720"/>
      </w:pPr>
      <w:r>
        <w:rPr>
          <w:rStyle w:val="FootnoteReference"/>
        </w:rPr>
        <w:footnoteRef/>
      </w:r>
      <w:r>
        <w:t xml:space="preserve">  </w:t>
      </w:r>
      <w:r>
        <w:tab/>
        <w:t xml:space="preserve">The Inquiry recommended that that the </w:t>
      </w:r>
      <w:r w:rsidRPr="00515B0D">
        <w:t xml:space="preserve">federal </w:t>
      </w:r>
      <w:r w:rsidRPr="00515B0D">
        <w:rPr>
          <w:i/>
        </w:rPr>
        <w:t>Disability Discrimination Act</w:t>
      </w:r>
      <w:r>
        <w:t xml:space="preserve"> </w:t>
      </w:r>
      <w:proofErr w:type="gramStart"/>
      <w:r>
        <w:t>be</w:t>
      </w:r>
      <w:proofErr w:type="gramEnd"/>
      <w:r>
        <w:t xml:space="preserve"> renamed the Genetic and Disability Discrimination Act, however—but this has not happened.  </w:t>
      </w:r>
    </w:p>
  </w:footnote>
  <w:footnote w:id="10">
    <w:p w:rsidR="00ED0924" w:rsidRDefault="00ED0924">
      <w:pPr>
        <w:pStyle w:val="FootnoteText"/>
      </w:pPr>
      <w:r>
        <w:rPr>
          <w:rStyle w:val="FootnoteReference"/>
        </w:rPr>
        <w:footnoteRef/>
      </w:r>
      <w:r>
        <w:t xml:space="preserve">  </w:t>
      </w:r>
      <w:r>
        <w:tab/>
        <w:t xml:space="preserve">To which employers must contribute at least an additional nine percent of an employee’s annual salary.  </w:t>
      </w:r>
    </w:p>
  </w:footnote>
  <w:footnote w:id="11">
    <w:p w:rsidR="00ED0924" w:rsidRDefault="00ED0924">
      <w:pPr>
        <w:pStyle w:val="FootnoteText"/>
      </w:pPr>
      <w:r>
        <w:rPr>
          <w:rStyle w:val="FootnoteReference"/>
        </w:rPr>
        <w:footnoteRef/>
      </w:r>
      <w:r>
        <w:t xml:space="preserve">  </w:t>
      </w:r>
      <w:r>
        <w:tab/>
      </w:r>
      <w:proofErr w:type="gramStart"/>
      <w:r>
        <w:t>Carried out by the Australian Institute of Actuaries.</w:t>
      </w:r>
      <w:proofErr w:type="gramEnd"/>
      <w:r>
        <w:t xml:space="preserve">  </w:t>
      </w:r>
    </w:p>
  </w:footnote>
  <w:footnote w:id="12">
    <w:p w:rsidR="00ED0924" w:rsidRDefault="00ED0924" w:rsidP="00E217CB">
      <w:pPr>
        <w:pStyle w:val="FootnoteText"/>
        <w:ind w:left="720" w:hanging="720"/>
      </w:pPr>
      <w:r>
        <w:rPr>
          <w:rStyle w:val="FootnoteReference"/>
        </w:rPr>
        <w:footnoteRef/>
      </w:r>
      <w:r>
        <w:t xml:space="preserve">  </w:t>
      </w:r>
      <w:r>
        <w:tab/>
        <w:t xml:space="preserve">For example, underwriting practices in relation to </w:t>
      </w:r>
      <w:proofErr w:type="spellStart"/>
      <w:r>
        <w:t>haemochromatosis</w:t>
      </w:r>
      <w:proofErr w:type="spellEnd"/>
      <w:r>
        <w:t xml:space="preserve"> have been radically revamped, and the practices in relation to positive tests for the BRCA 1 and 2 mutations are being reviewed.  </w:t>
      </w:r>
    </w:p>
  </w:footnote>
  <w:footnote w:id="13">
    <w:p w:rsidR="00ED0924" w:rsidRDefault="00ED0924" w:rsidP="00C207E8">
      <w:pPr>
        <w:pStyle w:val="FootnoteText"/>
        <w:ind w:left="720" w:hanging="720"/>
      </w:pPr>
      <w:r>
        <w:rPr>
          <w:rStyle w:val="FootnoteReference"/>
        </w:rPr>
        <w:footnoteRef/>
      </w:r>
      <w:r>
        <w:t xml:space="preserve">  </w:t>
      </w:r>
      <w:r>
        <w:tab/>
        <w:t xml:space="preserve">Australian Law Reform Commission, </w:t>
      </w:r>
      <w:r w:rsidRPr="00C207E8">
        <w:rPr>
          <w:i/>
        </w:rPr>
        <w:t>Genes and Ingenuity: Gene Patenting and Human Health</w:t>
      </w:r>
      <w:r>
        <w:t xml:space="preserve"> (ALRC 99, 2004), available at &lt;</w:t>
      </w:r>
      <w:r w:rsidRPr="00C207E8">
        <w:t>http://www.alrc.gov.au/publications/report-99</w:t>
      </w:r>
      <w:r>
        <w:t xml:space="preserve">&gt; (accessed 4 July 2011).  </w:t>
      </w:r>
    </w:p>
  </w:footnote>
  <w:footnote w:id="14">
    <w:p w:rsidR="00ED0924" w:rsidRDefault="00ED0924" w:rsidP="000D33B8">
      <w:pPr>
        <w:pStyle w:val="FootnoteText"/>
        <w:ind w:left="720" w:hanging="720"/>
      </w:pPr>
      <w:r>
        <w:rPr>
          <w:rStyle w:val="FootnoteReference"/>
        </w:rPr>
        <w:footnoteRef/>
      </w:r>
      <w:r>
        <w:t xml:space="preserve">  </w:t>
      </w:r>
      <w:r>
        <w:tab/>
        <w:t xml:space="preserve">Australian Senate, Community Affairs References Committee, </w:t>
      </w:r>
      <w:r w:rsidRPr="000D33B8">
        <w:rPr>
          <w:i/>
        </w:rPr>
        <w:t>Gene Patents</w:t>
      </w:r>
      <w:r>
        <w:t xml:space="preserve"> (November 2010), available at </w:t>
      </w:r>
      <w:proofErr w:type="gramStart"/>
      <w:r>
        <w:t>&lt;(</w:t>
      </w:r>
      <w:proofErr w:type="gramEnd"/>
      <w:hyperlink r:id="rId2" w:history="1">
        <w:r w:rsidRPr="006007C7">
          <w:rPr>
            <w:rStyle w:val="Hyperlink"/>
          </w:rPr>
          <w:t>http://aph.gov.au/senate/committee/clac_ctte/gene_patents_43/report/index.htm</w:t>
        </w:r>
      </w:hyperlink>
      <w:r>
        <w:t xml:space="preserve">&gt; (accessed 4 July 2011). </w:t>
      </w:r>
    </w:p>
  </w:footnote>
  <w:footnote w:id="15">
    <w:p w:rsidR="00ED0924" w:rsidRDefault="00ED0924">
      <w:pPr>
        <w:pStyle w:val="FootnoteText"/>
      </w:pPr>
      <w:r>
        <w:rPr>
          <w:rStyle w:val="FootnoteReference"/>
        </w:rPr>
        <w:footnoteRef/>
      </w:r>
      <w:r>
        <w:t xml:space="preserve">  </w:t>
      </w:r>
      <w:r>
        <w:tab/>
        <w:t xml:space="preserve">Two Liberal Senators, one from the Greens and one Independent.   </w:t>
      </w:r>
    </w:p>
  </w:footnote>
  <w:footnote w:id="16">
    <w:p w:rsidR="00CF3A33" w:rsidRPr="00CF3A33" w:rsidRDefault="00CF3A33">
      <w:pPr>
        <w:pStyle w:val="FootnoteText"/>
        <w:rPr>
          <w:lang w:val="en-US"/>
        </w:rPr>
      </w:pPr>
      <w:r>
        <w:rPr>
          <w:rStyle w:val="FootnoteReference"/>
        </w:rPr>
        <w:footnoteRef/>
      </w:r>
      <w:r>
        <w:t xml:space="preserve"> See, </w:t>
      </w:r>
      <w:proofErr w:type="spellStart"/>
      <w:r>
        <w:t>eg</w:t>
      </w:r>
      <w:proofErr w:type="spellEnd"/>
      <w:r>
        <w:rPr>
          <w:lang w:val="en-US"/>
        </w:rPr>
        <w:t xml:space="preserve">, </w:t>
      </w:r>
      <w:hyperlink r:id="rId3" w:history="1">
        <w:r w:rsidRPr="003D4EB5">
          <w:rPr>
            <w:rStyle w:val="Hyperlink"/>
            <w:lang w:val="en-US"/>
          </w:rPr>
          <w:t>http://www.ahmrc.org.au/Ethics%20and%20Research.htm</w:t>
        </w:r>
      </w:hyperlink>
      <w:r>
        <w:rPr>
          <w:lang w:val="en-US"/>
        </w:rPr>
        <w:t xml:space="preserve"> for New South Wales; </w:t>
      </w:r>
      <w:hyperlink r:id="rId4" w:history="1">
        <w:r w:rsidRPr="003D4EB5">
          <w:rPr>
            <w:rStyle w:val="Hyperlink"/>
            <w:lang w:val="en-US"/>
          </w:rPr>
          <w:t>http://www.aboriginal.health.wa.gov.au/ethics/index.cfm</w:t>
        </w:r>
      </w:hyperlink>
      <w:r>
        <w:rPr>
          <w:lang w:val="en-US"/>
        </w:rPr>
        <w:t xml:space="preserve"> for Western Australia; </w:t>
      </w:r>
      <w:hyperlink r:id="rId5" w:history="1">
        <w:r w:rsidRPr="003D4EB5">
          <w:rPr>
            <w:rStyle w:val="Hyperlink"/>
            <w:lang w:val="en-US"/>
          </w:rPr>
          <w:t>http://www.ahcsa.org.au/content/research-ethics</w:t>
        </w:r>
      </w:hyperlink>
      <w:r>
        <w:rPr>
          <w:lang w:val="en-US"/>
        </w:rPr>
        <w:t xml:space="preserve"> for South Australia.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3ED7"/>
    <w:multiLevelType w:val="hybridMultilevel"/>
    <w:tmpl w:val="20584EA2"/>
    <w:lvl w:ilvl="0" w:tplc="FE1898FC">
      <w:start w:val="1"/>
      <w:numFmt w:val="bullet"/>
      <w:lvlText w:val="•"/>
      <w:lvlJc w:val="left"/>
      <w:pPr>
        <w:tabs>
          <w:tab w:val="num" w:pos="720"/>
        </w:tabs>
        <w:ind w:left="720" w:hanging="360"/>
      </w:pPr>
      <w:rPr>
        <w:rFonts w:ascii="Arial" w:hAnsi="Arial" w:hint="default"/>
      </w:rPr>
    </w:lvl>
    <w:lvl w:ilvl="1" w:tplc="7A0816D2" w:tentative="1">
      <w:start w:val="1"/>
      <w:numFmt w:val="bullet"/>
      <w:lvlText w:val="•"/>
      <w:lvlJc w:val="left"/>
      <w:pPr>
        <w:tabs>
          <w:tab w:val="num" w:pos="1440"/>
        </w:tabs>
        <w:ind w:left="1440" w:hanging="360"/>
      </w:pPr>
      <w:rPr>
        <w:rFonts w:ascii="Arial" w:hAnsi="Arial" w:hint="default"/>
      </w:rPr>
    </w:lvl>
    <w:lvl w:ilvl="2" w:tplc="BBCC037C" w:tentative="1">
      <w:start w:val="1"/>
      <w:numFmt w:val="bullet"/>
      <w:lvlText w:val="•"/>
      <w:lvlJc w:val="left"/>
      <w:pPr>
        <w:tabs>
          <w:tab w:val="num" w:pos="2160"/>
        </w:tabs>
        <w:ind w:left="2160" w:hanging="360"/>
      </w:pPr>
      <w:rPr>
        <w:rFonts w:ascii="Arial" w:hAnsi="Arial" w:hint="default"/>
      </w:rPr>
    </w:lvl>
    <w:lvl w:ilvl="3" w:tplc="2DA8DA94" w:tentative="1">
      <w:start w:val="1"/>
      <w:numFmt w:val="bullet"/>
      <w:lvlText w:val="•"/>
      <w:lvlJc w:val="left"/>
      <w:pPr>
        <w:tabs>
          <w:tab w:val="num" w:pos="2880"/>
        </w:tabs>
        <w:ind w:left="2880" w:hanging="360"/>
      </w:pPr>
      <w:rPr>
        <w:rFonts w:ascii="Arial" w:hAnsi="Arial" w:hint="default"/>
      </w:rPr>
    </w:lvl>
    <w:lvl w:ilvl="4" w:tplc="16FE7B8C" w:tentative="1">
      <w:start w:val="1"/>
      <w:numFmt w:val="bullet"/>
      <w:lvlText w:val="•"/>
      <w:lvlJc w:val="left"/>
      <w:pPr>
        <w:tabs>
          <w:tab w:val="num" w:pos="3600"/>
        </w:tabs>
        <w:ind w:left="3600" w:hanging="360"/>
      </w:pPr>
      <w:rPr>
        <w:rFonts w:ascii="Arial" w:hAnsi="Arial" w:hint="default"/>
      </w:rPr>
    </w:lvl>
    <w:lvl w:ilvl="5" w:tplc="2C60DB28" w:tentative="1">
      <w:start w:val="1"/>
      <w:numFmt w:val="bullet"/>
      <w:lvlText w:val="•"/>
      <w:lvlJc w:val="left"/>
      <w:pPr>
        <w:tabs>
          <w:tab w:val="num" w:pos="4320"/>
        </w:tabs>
        <w:ind w:left="4320" w:hanging="360"/>
      </w:pPr>
      <w:rPr>
        <w:rFonts w:ascii="Arial" w:hAnsi="Arial" w:hint="default"/>
      </w:rPr>
    </w:lvl>
    <w:lvl w:ilvl="6" w:tplc="45F66300" w:tentative="1">
      <w:start w:val="1"/>
      <w:numFmt w:val="bullet"/>
      <w:lvlText w:val="•"/>
      <w:lvlJc w:val="left"/>
      <w:pPr>
        <w:tabs>
          <w:tab w:val="num" w:pos="5040"/>
        </w:tabs>
        <w:ind w:left="5040" w:hanging="360"/>
      </w:pPr>
      <w:rPr>
        <w:rFonts w:ascii="Arial" w:hAnsi="Arial" w:hint="default"/>
      </w:rPr>
    </w:lvl>
    <w:lvl w:ilvl="7" w:tplc="558E787C" w:tentative="1">
      <w:start w:val="1"/>
      <w:numFmt w:val="bullet"/>
      <w:lvlText w:val="•"/>
      <w:lvlJc w:val="left"/>
      <w:pPr>
        <w:tabs>
          <w:tab w:val="num" w:pos="5760"/>
        </w:tabs>
        <w:ind w:left="5760" w:hanging="360"/>
      </w:pPr>
      <w:rPr>
        <w:rFonts w:ascii="Arial" w:hAnsi="Arial" w:hint="default"/>
      </w:rPr>
    </w:lvl>
    <w:lvl w:ilvl="8" w:tplc="AC50FA5E" w:tentative="1">
      <w:start w:val="1"/>
      <w:numFmt w:val="bullet"/>
      <w:lvlText w:val="•"/>
      <w:lvlJc w:val="left"/>
      <w:pPr>
        <w:tabs>
          <w:tab w:val="num" w:pos="6480"/>
        </w:tabs>
        <w:ind w:left="6480" w:hanging="360"/>
      </w:pPr>
      <w:rPr>
        <w:rFonts w:ascii="Arial" w:hAnsi="Arial" w:hint="default"/>
      </w:rPr>
    </w:lvl>
  </w:abstractNum>
  <w:abstractNum w:abstractNumId="1">
    <w:nsid w:val="0AB155D3"/>
    <w:multiLevelType w:val="hybridMultilevel"/>
    <w:tmpl w:val="A12E078E"/>
    <w:lvl w:ilvl="0" w:tplc="11CC2E82">
      <w:start w:val="1"/>
      <w:numFmt w:val="bullet"/>
      <w:lvlText w:val="•"/>
      <w:lvlJc w:val="left"/>
      <w:pPr>
        <w:tabs>
          <w:tab w:val="num" w:pos="720"/>
        </w:tabs>
        <w:ind w:left="720" w:hanging="360"/>
      </w:pPr>
      <w:rPr>
        <w:rFonts w:ascii="Arial" w:hAnsi="Arial" w:hint="default"/>
      </w:rPr>
    </w:lvl>
    <w:lvl w:ilvl="1" w:tplc="9C224546">
      <w:start w:val="433"/>
      <w:numFmt w:val="bullet"/>
      <w:lvlText w:val="–"/>
      <w:lvlJc w:val="left"/>
      <w:pPr>
        <w:tabs>
          <w:tab w:val="num" w:pos="1440"/>
        </w:tabs>
        <w:ind w:left="1440" w:hanging="360"/>
      </w:pPr>
      <w:rPr>
        <w:rFonts w:ascii="Arial" w:hAnsi="Arial" w:hint="default"/>
      </w:rPr>
    </w:lvl>
    <w:lvl w:ilvl="2" w:tplc="EEE69AC2" w:tentative="1">
      <w:start w:val="1"/>
      <w:numFmt w:val="bullet"/>
      <w:lvlText w:val="•"/>
      <w:lvlJc w:val="left"/>
      <w:pPr>
        <w:tabs>
          <w:tab w:val="num" w:pos="2160"/>
        </w:tabs>
        <w:ind w:left="2160" w:hanging="360"/>
      </w:pPr>
      <w:rPr>
        <w:rFonts w:ascii="Arial" w:hAnsi="Arial" w:hint="default"/>
      </w:rPr>
    </w:lvl>
    <w:lvl w:ilvl="3" w:tplc="99642214" w:tentative="1">
      <w:start w:val="1"/>
      <w:numFmt w:val="bullet"/>
      <w:lvlText w:val="•"/>
      <w:lvlJc w:val="left"/>
      <w:pPr>
        <w:tabs>
          <w:tab w:val="num" w:pos="2880"/>
        </w:tabs>
        <w:ind w:left="2880" w:hanging="360"/>
      </w:pPr>
      <w:rPr>
        <w:rFonts w:ascii="Arial" w:hAnsi="Arial" w:hint="default"/>
      </w:rPr>
    </w:lvl>
    <w:lvl w:ilvl="4" w:tplc="D3FCEB1A" w:tentative="1">
      <w:start w:val="1"/>
      <w:numFmt w:val="bullet"/>
      <w:lvlText w:val="•"/>
      <w:lvlJc w:val="left"/>
      <w:pPr>
        <w:tabs>
          <w:tab w:val="num" w:pos="3600"/>
        </w:tabs>
        <w:ind w:left="3600" w:hanging="360"/>
      </w:pPr>
      <w:rPr>
        <w:rFonts w:ascii="Arial" w:hAnsi="Arial" w:hint="default"/>
      </w:rPr>
    </w:lvl>
    <w:lvl w:ilvl="5" w:tplc="DC0E8C6C" w:tentative="1">
      <w:start w:val="1"/>
      <w:numFmt w:val="bullet"/>
      <w:lvlText w:val="•"/>
      <w:lvlJc w:val="left"/>
      <w:pPr>
        <w:tabs>
          <w:tab w:val="num" w:pos="4320"/>
        </w:tabs>
        <w:ind w:left="4320" w:hanging="360"/>
      </w:pPr>
      <w:rPr>
        <w:rFonts w:ascii="Arial" w:hAnsi="Arial" w:hint="default"/>
      </w:rPr>
    </w:lvl>
    <w:lvl w:ilvl="6" w:tplc="98A687EA" w:tentative="1">
      <w:start w:val="1"/>
      <w:numFmt w:val="bullet"/>
      <w:lvlText w:val="•"/>
      <w:lvlJc w:val="left"/>
      <w:pPr>
        <w:tabs>
          <w:tab w:val="num" w:pos="5040"/>
        </w:tabs>
        <w:ind w:left="5040" w:hanging="360"/>
      </w:pPr>
      <w:rPr>
        <w:rFonts w:ascii="Arial" w:hAnsi="Arial" w:hint="default"/>
      </w:rPr>
    </w:lvl>
    <w:lvl w:ilvl="7" w:tplc="A62672F4" w:tentative="1">
      <w:start w:val="1"/>
      <w:numFmt w:val="bullet"/>
      <w:lvlText w:val="•"/>
      <w:lvlJc w:val="left"/>
      <w:pPr>
        <w:tabs>
          <w:tab w:val="num" w:pos="5760"/>
        </w:tabs>
        <w:ind w:left="5760" w:hanging="360"/>
      </w:pPr>
      <w:rPr>
        <w:rFonts w:ascii="Arial" w:hAnsi="Arial" w:hint="default"/>
      </w:rPr>
    </w:lvl>
    <w:lvl w:ilvl="8" w:tplc="7A3A7EC6" w:tentative="1">
      <w:start w:val="1"/>
      <w:numFmt w:val="bullet"/>
      <w:lvlText w:val="•"/>
      <w:lvlJc w:val="left"/>
      <w:pPr>
        <w:tabs>
          <w:tab w:val="num" w:pos="6480"/>
        </w:tabs>
        <w:ind w:left="6480" w:hanging="360"/>
      </w:pPr>
      <w:rPr>
        <w:rFonts w:ascii="Arial" w:hAnsi="Arial" w:hint="default"/>
      </w:rPr>
    </w:lvl>
  </w:abstractNum>
  <w:abstractNum w:abstractNumId="2">
    <w:nsid w:val="0DE12D97"/>
    <w:multiLevelType w:val="hybridMultilevel"/>
    <w:tmpl w:val="4568F62A"/>
    <w:lvl w:ilvl="0" w:tplc="45486780">
      <w:start w:val="1"/>
      <w:numFmt w:val="bullet"/>
      <w:lvlText w:val="•"/>
      <w:lvlJc w:val="left"/>
      <w:pPr>
        <w:tabs>
          <w:tab w:val="num" w:pos="720"/>
        </w:tabs>
        <w:ind w:left="720" w:hanging="360"/>
      </w:pPr>
      <w:rPr>
        <w:rFonts w:ascii="Arial" w:hAnsi="Arial" w:hint="default"/>
      </w:rPr>
    </w:lvl>
    <w:lvl w:ilvl="1" w:tplc="FCB8A838" w:tentative="1">
      <w:start w:val="1"/>
      <w:numFmt w:val="bullet"/>
      <w:lvlText w:val="•"/>
      <w:lvlJc w:val="left"/>
      <w:pPr>
        <w:tabs>
          <w:tab w:val="num" w:pos="1440"/>
        </w:tabs>
        <w:ind w:left="1440" w:hanging="360"/>
      </w:pPr>
      <w:rPr>
        <w:rFonts w:ascii="Arial" w:hAnsi="Arial" w:hint="default"/>
      </w:rPr>
    </w:lvl>
    <w:lvl w:ilvl="2" w:tplc="14E0175C" w:tentative="1">
      <w:start w:val="1"/>
      <w:numFmt w:val="bullet"/>
      <w:lvlText w:val="•"/>
      <w:lvlJc w:val="left"/>
      <w:pPr>
        <w:tabs>
          <w:tab w:val="num" w:pos="2160"/>
        </w:tabs>
        <w:ind w:left="2160" w:hanging="360"/>
      </w:pPr>
      <w:rPr>
        <w:rFonts w:ascii="Arial" w:hAnsi="Arial" w:hint="default"/>
      </w:rPr>
    </w:lvl>
    <w:lvl w:ilvl="3" w:tplc="8F9E143A" w:tentative="1">
      <w:start w:val="1"/>
      <w:numFmt w:val="bullet"/>
      <w:lvlText w:val="•"/>
      <w:lvlJc w:val="left"/>
      <w:pPr>
        <w:tabs>
          <w:tab w:val="num" w:pos="2880"/>
        </w:tabs>
        <w:ind w:left="2880" w:hanging="360"/>
      </w:pPr>
      <w:rPr>
        <w:rFonts w:ascii="Arial" w:hAnsi="Arial" w:hint="default"/>
      </w:rPr>
    </w:lvl>
    <w:lvl w:ilvl="4" w:tplc="339EA0E0" w:tentative="1">
      <w:start w:val="1"/>
      <w:numFmt w:val="bullet"/>
      <w:lvlText w:val="•"/>
      <w:lvlJc w:val="left"/>
      <w:pPr>
        <w:tabs>
          <w:tab w:val="num" w:pos="3600"/>
        </w:tabs>
        <w:ind w:left="3600" w:hanging="360"/>
      </w:pPr>
      <w:rPr>
        <w:rFonts w:ascii="Arial" w:hAnsi="Arial" w:hint="default"/>
      </w:rPr>
    </w:lvl>
    <w:lvl w:ilvl="5" w:tplc="3AFE9FD8" w:tentative="1">
      <w:start w:val="1"/>
      <w:numFmt w:val="bullet"/>
      <w:lvlText w:val="•"/>
      <w:lvlJc w:val="left"/>
      <w:pPr>
        <w:tabs>
          <w:tab w:val="num" w:pos="4320"/>
        </w:tabs>
        <w:ind w:left="4320" w:hanging="360"/>
      </w:pPr>
      <w:rPr>
        <w:rFonts w:ascii="Arial" w:hAnsi="Arial" w:hint="default"/>
      </w:rPr>
    </w:lvl>
    <w:lvl w:ilvl="6" w:tplc="C04A9176" w:tentative="1">
      <w:start w:val="1"/>
      <w:numFmt w:val="bullet"/>
      <w:lvlText w:val="•"/>
      <w:lvlJc w:val="left"/>
      <w:pPr>
        <w:tabs>
          <w:tab w:val="num" w:pos="5040"/>
        </w:tabs>
        <w:ind w:left="5040" w:hanging="360"/>
      </w:pPr>
      <w:rPr>
        <w:rFonts w:ascii="Arial" w:hAnsi="Arial" w:hint="default"/>
      </w:rPr>
    </w:lvl>
    <w:lvl w:ilvl="7" w:tplc="FCB65F36" w:tentative="1">
      <w:start w:val="1"/>
      <w:numFmt w:val="bullet"/>
      <w:lvlText w:val="•"/>
      <w:lvlJc w:val="left"/>
      <w:pPr>
        <w:tabs>
          <w:tab w:val="num" w:pos="5760"/>
        </w:tabs>
        <w:ind w:left="5760" w:hanging="360"/>
      </w:pPr>
      <w:rPr>
        <w:rFonts w:ascii="Arial" w:hAnsi="Arial" w:hint="default"/>
      </w:rPr>
    </w:lvl>
    <w:lvl w:ilvl="8" w:tplc="278CAE8E" w:tentative="1">
      <w:start w:val="1"/>
      <w:numFmt w:val="bullet"/>
      <w:lvlText w:val="•"/>
      <w:lvlJc w:val="left"/>
      <w:pPr>
        <w:tabs>
          <w:tab w:val="num" w:pos="6480"/>
        </w:tabs>
        <w:ind w:left="6480" w:hanging="360"/>
      </w:pPr>
      <w:rPr>
        <w:rFonts w:ascii="Arial" w:hAnsi="Arial" w:hint="default"/>
      </w:rPr>
    </w:lvl>
  </w:abstractNum>
  <w:abstractNum w:abstractNumId="3">
    <w:nsid w:val="1DC1349F"/>
    <w:multiLevelType w:val="hybridMultilevel"/>
    <w:tmpl w:val="0F3A8BE0"/>
    <w:lvl w:ilvl="0" w:tplc="B6F0A57C">
      <w:start w:val="1"/>
      <w:numFmt w:val="bullet"/>
      <w:lvlText w:val="•"/>
      <w:lvlJc w:val="left"/>
      <w:pPr>
        <w:tabs>
          <w:tab w:val="num" w:pos="720"/>
        </w:tabs>
        <w:ind w:left="720" w:hanging="360"/>
      </w:pPr>
      <w:rPr>
        <w:rFonts w:ascii="Arial" w:hAnsi="Arial" w:hint="default"/>
      </w:rPr>
    </w:lvl>
    <w:lvl w:ilvl="1" w:tplc="FFC0F352" w:tentative="1">
      <w:start w:val="1"/>
      <w:numFmt w:val="bullet"/>
      <w:lvlText w:val="•"/>
      <w:lvlJc w:val="left"/>
      <w:pPr>
        <w:tabs>
          <w:tab w:val="num" w:pos="1440"/>
        </w:tabs>
        <w:ind w:left="1440" w:hanging="360"/>
      </w:pPr>
      <w:rPr>
        <w:rFonts w:ascii="Arial" w:hAnsi="Arial" w:hint="default"/>
      </w:rPr>
    </w:lvl>
    <w:lvl w:ilvl="2" w:tplc="3438D04C" w:tentative="1">
      <w:start w:val="1"/>
      <w:numFmt w:val="bullet"/>
      <w:lvlText w:val="•"/>
      <w:lvlJc w:val="left"/>
      <w:pPr>
        <w:tabs>
          <w:tab w:val="num" w:pos="2160"/>
        </w:tabs>
        <w:ind w:left="2160" w:hanging="360"/>
      </w:pPr>
      <w:rPr>
        <w:rFonts w:ascii="Arial" w:hAnsi="Arial" w:hint="default"/>
      </w:rPr>
    </w:lvl>
    <w:lvl w:ilvl="3" w:tplc="AB9C2412" w:tentative="1">
      <w:start w:val="1"/>
      <w:numFmt w:val="bullet"/>
      <w:lvlText w:val="•"/>
      <w:lvlJc w:val="left"/>
      <w:pPr>
        <w:tabs>
          <w:tab w:val="num" w:pos="2880"/>
        </w:tabs>
        <w:ind w:left="2880" w:hanging="360"/>
      </w:pPr>
      <w:rPr>
        <w:rFonts w:ascii="Arial" w:hAnsi="Arial" w:hint="default"/>
      </w:rPr>
    </w:lvl>
    <w:lvl w:ilvl="4" w:tplc="2D2A0DB6" w:tentative="1">
      <w:start w:val="1"/>
      <w:numFmt w:val="bullet"/>
      <w:lvlText w:val="•"/>
      <w:lvlJc w:val="left"/>
      <w:pPr>
        <w:tabs>
          <w:tab w:val="num" w:pos="3600"/>
        </w:tabs>
        <w:ind w:left="3600" w:hanging="360"/>
      </w:pPr>
      <w:rPr>
        <w:rFonts w:ascii="Arial" w:hAnsi="Arial" w:hint="default"/>
      </w:rPr>
    </w:lvl>
    <w:lvl w:ilvl="5" w:tplc="690EBF54" w:tentative="1">
      <w:start w:val="1"/>
      <w:numFmt w:val="bullet"/>
      <w:lvlText w:val="•"/>
      <w:lvlJc w:val="left"/>
      <w:pPr>
        <w:tabs>
          <w:tab w:val="num" w:pos="4320"/>
        </w:tabs>
        <w:ind w:left="4320" w:hanging="360"/>
      </w:pPr>
      <w:rPr>
        <w:rFonts w:ascii="Arial" w:hAnsi="Arial" w:hint="default"/>
      </w:rPr>
    </w:lvl>
    <w:lvl w:ilvl="6" w:tplc="8196F8AC" w:tentative="1">
      <w:start w:val="1"/>
      <w:numFmt w:val="bullet"/>
      <w:lvlText w:val="•"/>
      <w:lvlJc w:val="left"/>
      <w:pPr>
        <w:tabs>
          <w:tab w:val="num" w:pos="5040"/>
        </w:tabs>
        <w:ind w:left="5040" w:hanging="360"/>
      </w:pPr>
      <w:rPr>
        <w:rFonts w:ascii="Arial" w:hAnsi="Arial" w:hint="default"/>
      </w:rPr>
    </w:lvl>
    <w:lvl w:ilvl="7" w:tplc="A91E55D0" w:tentative="1">
      <w:start w:val="1"/>
      <w:numFmt w:val="bullet"/>
      <w:lvlText w:val="•"/>
      <w:lvlJc w:val="left"/>
      <w:pPr>
        <w:tabs>
          <w:tab w:val="num" w:pos="5760"/>
        </w:tabs>
        <w:ind w:left="5760" w:hanging="360"/>
      </w:pPr>
      <w:rPr>
        <w:rFonts w:ascii="Arial" w:hAnsi="Arial" w:hint="default"/>
      </w:rPr>
    </w:lvl>
    <w:lvl w:ilvl="8" w:tplc="A40A92C6" w:tentative="1">
      <w:start w:val="1"/>
      <w:numFmt w:val="bullet"/>
      <w:lvlText w:val="•"/>
      <w:lvlJc w:val="left"/>
      <w:pPr>
        <w:tabs>
          <w:tab w:val="num" w:pos="6480"/>
        </w:tabs>
        <w:ind w:left="6480" w:hanging="360"/>
      </w:pPr>
      <w:rPr>
        <w:rFonts w:ascii="Arial" w:hAnsi="Arial" w:hint="default"/>
      </w:rPr>
    </w:lvl>
  </w:abstractNum>
  <w:abstractNum w:abstractNumId="4">
    <w:nsid w:val="23A950C5"/>
    <w:multiLevelType w:val="hybridMultilevel"/>
    <w:tmpl w:val="AC0CB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795330"/>
    <w:multiLevelType w:val="hybridMultilevel"/>
    <w:tmpl w:val="2E5E4384"/>
    <w:lvl w:ilvl="0" w:tplc="B4E67A84">
      <w:start w:val="1"/>
      <w:numFmt w:val="bullet"/>
      <w:lvlText w:val="•"/>
      <w:lvlJc w:val="left"/>
      <w:pPr>
        <w:tabs>
          <w:tab w:val="num" w:pos="720"/>
        </w:tabs>
        <w:ind w:left="720" w:hanging="360"/>
      </w:pPr>
      <w:rPr>
        <w:rFonts w:ascii="Arial" w:hAnsi="Arial" w:hint="default"/>
      </w:rPr>
    </w:lvl>
    <w:lvl w:ilvl="1" w:tplc="891678A2" w:tentative="1">
      <w:start w:val="1"/>
      <w:numFmt w:val="bullet"/>
      <w:lvlText w:val="•"/>
      <w:lvlJc w:val="left"/>
      <w:pPr>
        <w:tabs>
          <w:tab w:val="num" w:pos="1440"/>
        </w:tabs>
        <w:ind w:left="1440" w:hanging="360"/>
      </w:pPr>
      <w:rPr>
        <w:rFonts w:ascii="Arial" w:hAnsi="Arial" w:hint="default"/>
      </w:rPr>
    </w:lvl>
    <w:lvl w:ilvl="2" w:tplc="39FA9160" w:tentative="1">
      <w:start w:val="1"/>
      <w:numFmt w:val="bullet"/>
      <w:lvlText w:val="•"/>
      <w:lvlJc w:val="left"/>
      <w:pPr>
        <w:tabs>
          <w:tab w:val="num" w:pos="2160"/>
        </w:tabs>
        <w:ind w:left="2160" w:hanging="360"/>
      </w:pPr>
      <w:rPr>
        <w:rFonts w:ascii="Arial" w:hAnsi="Arial" w:hint="default"/>
      </w:rPr>
    </w:lvl>
    <w:lvl w:ilvl="3" w:tplc="BD26F958" w:tentative="1">
      <w:start w:val="1"/>
      <w:numFmt w:val="bullet"/>
      <w:lvlText w:val="•"/>
      <w:lvlJc w:val="left"/>
      <w:pPr>
        <w:tabs>
          <w:tab w:val="num" w:pos="2880"/>
        </w:tabs>
        <w:ind w:left="2880" w:hanging="360"/>
      </w:pPr>
      <w:rPr>
        <w:rFonts w:ascii="Arial" w:hAnsi="Arial" w:hint="default"/>
      </w:rPr>
    </w:lvl>
    <w:lvl w:ilvl="4" w:tplc="35AA0B4A" w:tentative="1">
      <w:start w:val="1"/>
      <w:numFmt w:val="bullet"/>
      <w:lvlText w:val="•"/>
      <w:lvlJc w:val="left"/>
      <w:pPr>
        <w:tabs>
          <w:tab w:val="num" w:pos="3600"/>
        </w:tabs>
        <w:ind w:left="3600" w:hanging="360"/>
      </w:pPr>
      <w:rPr>
        <w:rFonts w:ascii="Arial" w:hAnsi="Arial" w:hint="default"/>
      </w:rPr>
    </w:lvl>
    <w:lvl w:ilvl="5" w:tplc="68E695E4" w:tentative="1">
      <w:start w:val="1"/>
      <w:numFmt w:val="bullet"/>
      <w:lvlText w:val="•"/>
      <w:lvlJc w:val="left"/>
      <w:pPr>
        <w:tabs>
          <w:tab w:val="num" w:pos="4320"/>
        </w:tabs>
        <w:ind w:left="4320" w:hanging="360"/>
      </w:pPr>
      <w:rPr>
        <w:rFonts w:ascii="Arial" w:hAnsi="Arial" w:hint="default"/>
      </w:rPr>
    </w:lvl>
    <w:lvl w:ilvl="6" w:tplc="D69E14A8" w:tentative="1">
      <w:start w:val="1"/>
      <w:numFmt w:val="bullet"/>
      <w:lvlText w:val="•"/>
      <w:lvlJc w:val="left"/>
      <w:pPr>
        <w:tabs>
          <w:tab w:val="num" w:pos="5040"/>
        </w:tabs>
        <w:ind w:left="5040" w:hanging="360"/>
      </w:pPr>
      <w:rPr>
        <w:rFonts w:ascii="Arial" w:hAnsi="Arial" w:hint="default"/>
      </w:rPr>
    </w:lvl>
    <w:lvl w:ilvl="7" w:tplc="AF6C58AA" w:tentative="1">
      <w:start w:val="1"/>
      <w:numFmt w:val="bullet"/>
      <w:lvlText w:val="•"/>
      <w:lvlJc w:val="left"/>
      <w:pPr>
        <w:tabs>
          <w:tab w:val="num" w:pos="5760"/>
        </w:tabs>
        <w:ind w:left="5760" w:hanging="360"/>
      </w:pPr>
      <w:rPr>
        <w:rFonts w:ascii="Arial" w:hAnsi="Arial" w:hint="default"/>
      </w:rPr>
    </w:lvl>
    <w:lvl w:ilvl="8" w:tplc="DADCB1FA" w:tentative="1">
      <w:start w:val="1"/>
      <w:numFmt w:val="bullet"/>
      <w:lvlText w:val="•"/>
      <w:lvlJc w:val="left"/>
      <w:pPr>
        <w:tabs>
          <w:tab w:val="num" w:pos="6480"/>
        </w:tabs>
        <w:ind w:left="6480" w:hanging="360"/>
      </w:pPr>
      <w:rPr>
        <w:rFonts w:ascii="Arial" w:hAnsi="Arial" w:hint="default"/>
      </w:rPr>
    </w:lvl>
  </w:abstractNum>
  <w:abstractNum w:abstractNumId="6">
    <w:nsid w:val="2F8B36EE"/>
    <w:multiLevelType w:val="hybridMultilevel"/>
    <w:tmpl w:val="0C7060DC"/>
    <w:lvl w:ilvl="0" w:tplc="482AD5F8">
      <w:start w:val="1"/>
      <w:numFmt w:val="bullet"/>
      <w:lvlText w:val="•"/>
      <w:lvlJc w:val="left"/>
      <w:pPr>
        <w:tabs>
          <w:tab w:val="num" w:pos="720"/>
        </w:tabs>
        <w:ind w:left="720" w:hanging="360"/>
      </w:pPr>
      <w:rPr>
        <w:rFonts w:ascii="Arial" w:hAnsi="Arial" w:hint="default"/>
      </w:rPr>
    </w:lvl>
    <w:lvl w:ilvl="1" w:tplc="21422218">
      <w:start w:val="433"/>
      <w:numFmt w:val="bullet"/>
      <w:lvlText w:val="–"/>
      <w:lvlJc w:val="left"/>
      <w:pPr>
        <w:tabs>
          <w:tab w:val="num" w:pos="1440"/>
        </w:tabs>
        <w:ind w:left="1440" w:hanging="360"/>
      </w:pPr>
      <w:rPr>
        <w:rFonts w:ascii="Arial" w:hAnsi="Arial" w:hint="default"/>
      </w:rPr>
    </w:lvl>
    <w:lvl w:ilvl="2" w:tplc="646AD59C" w:tentative="1">
      <w:start w:val="1"/>
      <w:numFmt w:val="bullet"/>
      <w:lvlText w:val="•"/>
      <w:lvlJc w:val="left"/>
      <w:pPr>
        <w:tabs>
          <w:tab w:val="num" w:pos="2160"/>
        </w:tabs>
        <w:ind w:left="2160" w:hanging="360"/>
      </w:pPr>
      <w:rPr>
        <w:rFonts w:ascii="Arial" w:hAnsi="Arial" w:hint="default"/>
      </w:rPr>
    </w:lvl>
    <w:lvl w:ilvl="3" w:tplc="7CC28DAC" w:tentative="1">
      <w:start w:val="1"/>
      <w:numFmt w:val="bullet"/>
      <w:lvlText w:val="•"/>
      <w:lvlJc w:val="left"/>
      <w:pPr>
        <w:tabs>
          <w:tab w:val="num" w:pos="2880"/>
        </w:tabs>
        <w:ind w:left="2880" w:hanging="360"/>
      </w:pPr>
      <w:rPr>
        <w:rFonts w:ascii="Arial" w:hAnsi="Arial" w:hint="default"/>
      </w:rPr>
    </w:lvl>
    <w:lvl w:ilvl="4" w:tplc="60A2C244" w:tentative="1">
      <w:start w:val="1"/>
      <w:numFmt w:val="bullet"/>
      <w:lvlText w:val="•"/>
      <w:lvlJc w:val="left"/>
      <w:pPr>
        <w:tabs>
          <w:tab w:val="num" w:pos="3600"/>
        </w:tabs>
        <w:ind w:left="3600" w:hanging="360"/>
      </w:pPr>
      <w:rPr>
        <w:rFonts w:ascii="Arial" w:hAnsi="Arial" w:hint="default"/>
      </w:rPr>
    </w:lvl>
    <w:lvl w:ilvl="5" w:tplc="2B92C74C" w:tentative="1">
      <w:start w:val="1"/>
      <w:numFmt w:val="bullet"/>
      <w:lvlText w:val="•"/>
      <w:lvlJc w:val="left"/>
      <w:pPr>
        <w:tabs>
          <w:tab w:val="num" w:pos="4320"/>
        </w:tabs>
        <w:ind w:left="4320" w:hanging="360"/>
      </w:pPr>
      <w:rPr>
        <w:rFonts w:ascii="Arial" w:hAnsi="Arial" w:hint="default"/>
      </w:rPr>
    </w:lvl>
    <w:lvl w:ilvl="6" w:tplc="37503EF6" w:tentative="1">
      <w:start w:val="1"/>
      <w:numFmt w:val="bullet"/>
      <w:lvlText w:val="•"/>
      <w:lvlJc w:val="left"/>
      <w:pPr>
        <w:tabs>
          <w:tab w:val="num" w:pos="5040"/>
        </w:tabs>
        <w:ind w:left="5040" w:hanging="360"/>
      </w:pPr>
      <w:rPr>
        <w:rFonts w:ascii="Arial" w:hAnsi="Arial" w:hint="default"/>
      </w:rPr>
    </w:lvl>
    <w:lvl w:ilvl="7" w:tplc="CC36BCAC" w:tentative="1">
      <w:start w:val="1"/>
      <w:numFmt w:val="bullet"/>
      <w:lvlText w:val="•"/>
      <w:lvlJc w:val="left"/>
      <w:pPr>
        <w:tabs>
          <w:tab w:val="num" w:pos="5760"/>
        </w:tabs>
        <w:ind w:left="5760" w:hanging="360"/>
      </w:pPr>
      <w:rPr>
        <w:rFonts w:ascii="Arial" w:hAnsi="Arial" w:hint="default"/>
      </w:rPr>
    </w:lvl>
    <w:lvl w:ilvl="8" w:tplc="BE1E35CA" w:tentative="1">
      <w:start w:val="1"/>
      <w:numFmt w:val="bullet"/>
      <w:lvlText w:val="•"/>
      <w:lvlJc w:val="left"/>
      <w:pPr>
        <w:tabs>
          <w:tab w:val="num" w:pos="6480"/>
        </w:tabs>
        <w:ind w:left="6480" w:hanging="360"/>
      </w:pPr>
      <w:rPr>
        <w:rFonts w:ascii="Arial" w:hAnsi="Arial" w:hint="default"/>
      </w:rPr>
    </w:lvl>
  </w:abstractNum>
  <w:abstractNum w:abstractNumId="7">
    <w:nsid w:val="2F965498"/>
    <w:multiLevelType w:val="hybridMultilevel"/>
    <w:tmpl w:val="18E0C9FE"/>
    <w:lvl w:ilvl="0" w:tplc="2310A174">
      <w:start w:val="1"/>
      <w:numFmt w:val="bullet"/>
      <w:lvlText w:val="•"/>
      <w:lvlJc w:val="left"/>
      <w:pPr>
        <w:tabs>
          <w:tab w:val="num" w:pos="360"/>
        </w:tabs>
        <w:ind w:left="36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137D7C"/>
    <w:multiLevelType w:val="hybridMultilevel"/>
    <w:tmpl w:val="9C68B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5C5E6B"/>
    <w:multiLevelType w:val="hybridMultilevel"/>
    <w:tmpl w:val="E0FE1858"/>
    <w:lvl w:ilvl="0" w:tplc="5554D7D6">
      <w:start w:val="1"/>
      <w:numFmt w:val="bullet"/>
      <w:lvlText w:val="•"/>
      <w:lvlJc w:val="left"/>
      <w:pPr>
        <w:tabs>
          <w:tab w:val="num" w:pos="720"/>
        </w:tabs>
        <w:ind w:left="720" w:hanging="360"/>
      </w:pPr>
      <w:rPr>
        <w:rFonts w:ascii="Arial" w:hAnsi="Arial" w:hint="default"/>
      </w:rPr>
    </w:lvl>
    <w:lvl w:ilvl="1" w:tplc="BEC2B952">
      <w:start w:val="3225"/>
      <w:numFmt w:val="bullet"/>
      <w:lvlText w:val="–"/>
      <w:lvlJc w:val="left"/>
      <w:pPr>
        <w:tabs>
          <w:tab w:val="num" w:pos="1440"/>
        </w:tabs>
        <w:ind w:left="1440" w:hanging="360"/>
      </w:pPr>
      <w:rPr>
        <w:rFonts w:ascii="Arial" w:hAnsi="Arial" w:hint="default"/>
      </w:rPr>
    </w:lvl>
    <w:lvl w:ilvl="2" w:tplc="0B5ABCD4" w:tentative="1">
      <w:start w:val="1"/>
      <w:numFmt w:val="bullet"/>
      <w:lvlText w:val="•"/>
      <w:lvlJc w:val="left"/>
      <w:pPr>
        <w:tabs>
          <w:tab w:val="num" w:pos="2160"/>
        </w:tabs>
        <w:ind w:left="2160" w:hanging="360"/>
      </w:pPr>
      <w:rPr>
        <w:rFonts w:ascii="Arial" w:hAnsi="Arial" w:hint="default"/>
      </w:rPr>
    </w:lvl>
    <w:lvl w:ilvl="3" w:tplc="9F4CAB3E" w:tentative="1">
      <w:start w:val="1"/>
      <w:numFmt w:val="bullet"/>
      <w:lvlText w:val="•"/>
      <w:lvlJc w:val="left"/>
      <w:pPr>
        <w:tabs>
          <w:tab w:val="num" w:pos="2880"/>
        </w:tabs>
        <w:ind w:left="2880" w:hanging="360"/>
      </w:pPr>
      <w:rPr>
        <w:rFonts w:ascii="Arial" w:hAnsi="Arial" w:hint="default"/>
      </w:rPr>
    </w:lvl>
    <w:lvl w:ilvl="4" w:tplc="1F22A7AA" w:tentative="1">
      <w:start w:val="1"/>
      <w:numFmt w:val="bullet"/>
      <w:lvlText w:val="•"/>
      <w:lvlJc w:val="left"/>
      <w:pPr>
        <w:tabs>
          <w:tab w:val="num" w:pos="3600"/>
        </w:tabs>
        <w:ind w:left="3600" w:hanging="360"/>
      </w:pPr>
      <w:rPr>
        <w:rFonts w:ascii="Arial" w:hAnsi="Arial" w:hint="default"/>
      </w:rPr>
    </w:lvl>
    <w:lvl w:ilvl="5" w:tplc="A900DC54" w:tentative="1">
      <w:start w:val="1"/>
      <w:numFmt w:val="bullet"/>
      <w:lvlText w:val="•"/>
      <w:lvlJc w:val="left"/>
      <w:pPr>
        <w:tabs>
          <w:tab w:val="num" w:pos="4320"/>
        </w:tabs>
        <w:ind w:left="4320" w:hanging="360"/>
      </w:pPr>
      <w:rPr>
        <w:rFonts w:ascii="Arial" w:hAnsi="Arial" w:hint="default"/>
      </w:rPr>
    </w:lvl>
    <w:lvl w:ilvl="6" w:tplc="215C300E" w:tentative="1">
      <w:start w:val="1"/>
      <w:numFmt w:val="bullet"/>
      <w:lvlText w:val="•"/>
      <w:lvlJc w:val="left"/>
      <w:pPr>
        <w:tabs>
          <w:tab w:val="num" w:pos="5040"/>
        </w:tabs>
        <w:ind w:left="5040" w:hanging="360"/>
      </w:pPr>
      <w:rPr>
        <w:rFonts w:ascii="Arial" w:hAnsi="Arial" w:hint="default"/>
      </w:rPr>
    </w:lvl>
    <w:lvl w:ilvl="7" w:tplc="DE96DC2E" w:tentative="1">
      <w:start w:val="1"/>
      <w:numFmt w:val="bullet"/>
      <w:lvlText w:val="•"/>
      <w:lvlJc w:val="left"/>
      <w:pPr>
        <w:tabs>
          <w:tab w:val="num" w:pos="5760"/>
        </w:tabs>
        <w:ind w:left="5760" w:hanging="360"/>
      </w:pPr>
      <w:rPr>
        <w:rFonts w:ascii="Arial" w:hAnsi="Arial" w:hint="default"/>
      </w:rPr>
    </w:lvl>
    <w:lvl w:ilvl="8" w:tplc="5046E37E" w:tentative="1">
      <w:start w:val="1"/>
      <w:numFmt w:val="bullet"/>
      <w:lvlText w:val="•"/>
      <w:lvlJc w:val="left"/>
      <w:pPr>
        <w:tabs>
          <w:tab w:val="num" w:pos="6480"/>
        </w:tabs>
        <w:ind w:left="6480" w:hanging="360"/>
      </w:pPr>
      <w:rPr>
        <w:rFonts w:ascii="Arial" w:hAnsi="Arial" w:hint="default"/>
      </w:rPr>
    </w:lvl>
  </w:abstractNum>
  <w:abstractNum w:abstractNumId="10">
    <w:nsid w:val="3AD82B38"/>
    <w:multiLevelType w:val="hybridMultilevel"/>
    <w:tmpl w:val="74208F70"/>
    <w:lvl w:ilvl="0" w:tplc="28E686A0">
      <w:start w:val="1"/>
      <w:numFmt w:val="decimal"/>
      <w:pStyle w:val="Style1"/>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57F5A26"/>
    <w:multiLevelType w:val="hybridMultilevel"/>
    <w:tmpl w:val="79588036"/>
    <w:lvl w:ilvl="0" w:tplc="12E06884">
      <w:start w:val="1"/>
      <w:numFmt w:val="bullet"/>
      <w:lvlText w:val="•"/>
      <w:lvlJc w:val="left"/>
      <w:pPr>
        <w:tabs>
          <w:tab w:val="num" w:pos="720"/>
        </w:tabs>
        <w:ind w:left="720" w:hanging="360"/>
      </w:pPr>
      <w:rPr>
        <w:rFonts w:ascii="Arial" w:hAnsi="Arial" w:hint="default"/>
      </w:rPr>
    </w:lvl>
    <w:lvl w:ilvl="1" w:tplc="2C646616" w:tentative="1">
      <w:start w:val="1"/>
      <w:numFmt w:val="bullet"/>
      <w:lvlText w:val="•"/>
      <w:lvlJc w:val="left"/>
      <w:pPr>
        <w:tabs>
          <w:tab w:val="num" w:pos="1440"/>
        </w:tabs>
        <w:ind w:left="1440" w:hanging="360"/>
      </w:pPr>
      <w:rPr>
        <w:rFonts w:ascii="Arial" w:hAnsi="Arial" w:hint="default"/>
      </w:rPr>
    </w:lvl>
    <w:lvl w:ilvl="2" w:tplc="E0800C98" w:tentative="1">
      <w:start w:val="1"/>
      <w:numFmt w:val="bullet"/>
      <w:lvlText w:val="•"/>
      <w:lvlJc w:val="left"/>
      <w:pPr>
        <w:tabs>
          <w:tab w:val="num" w:pos="2160"/>
        </w:tabs>
        <w:ind w:left="2160" w:hanging="360"/>
      </w:pPr>
      <w:rPr>
        <w:rFonts w:ascii="Arial" w:hAnsi="Arial" w:hint="default"/>
      </w:rPr>
    </w:lvl>
    <w:lvl w:ilvl="3" w:tplc="704C909A" w:tentative="1">
      <w:start w:val="1"/>
      <w:numFmt w:val="bullet"/>
      <w:lvlText w:val="•"/>
      <w:lvlJc w:val="left"/>
      <w:pPr>
        <w:tabs>
          <w:tab w:val="num" w:pos="2880"/>
        </w:tabs>
        <w:ind w:left="2880" w:hanging="360"/>
      </w:pPr>
      <w:rPr>
        <w:rFonts w:ascii="Arial" w:hAnsi="Arial" w:hint="default"/>
      </w:rPr>
    </w:lvl>
    <w:lvl w:ilvl="4" w:tplc="DC786F2C" w:tentative="1">
      <w:start w:val="1"/>
      <w:numFmt w:val="bullet"/>
      <w:lvlText w:val="•"/>
      <w:lvlJc w:val="left"/>
      <w:pPr>
        <w:tabs>
          <w:tab w:val="num" w:pos="3600"/>
        </w:tabs>
        <w:ind w:left="3600" w:hanging="360"/>
      </w:pPr>
      <w:rPr>
        <w:rFonts w:ascii="Arial" w:hAnsi="Arial" w:hint="default"/>
      </w:rPr>
    </w:lvl>
    <w:lvl w:ilvl="5" w:tplc="76D657FE" w:tentative="1">
      <w:start w:val="1"/>
      <w:numFmt w:val="bullet"/>
      <w:lvlText w:val="•"/>
      <w:lvlJc w:val="left"/>
      <w:pPr>
        <w:tabs>
          <w:tab w:val="num" w:pos="4320"/>
        </w:tabs>
        <w:ind w:left="4320" w:hanging="360"/>
      </w:pPr>
      <w:rPr>
        <w:rFonts w:ascii="Arial" w:hAnsi="Arial" w:hint="default"/>
      </w:rPr>
    </w:lvl>
    <w:lvl w:ilvl="6" w:tplc="04ACAC68" w:tentative="1">
      <w:start w:val="1"/>
      <w:numFmt w:val="bullet"/>
      <w:lvlText w:val="•"/>
      <w:lvlJc w:val="left"/>
      <w:pPr>
        <w:tabs>
          <w:tab w:val="num" w:pos="5040"/>
        </w:tabs>
        <w:ind w:left="5040" w:hanging="360"/>
      </w:pPr>
      <w:rPr>
        <w:rFonts w:ascii="Arial" w:hAnsi="Arial" w:hint="default"/>
      </w:rPr>
    </w:lvl>
    <w:lvl w:ilvl="7" w:tplc="B8AC21A4" w:tentative="1">
      <w:start w:val="1"/>
      <w:numFmt w:val="bullet"/>
      <w:lvlText w:val="•"/>
      <w:lvlJc w:val="left"/>
      <w:pPr>
        <w:tabs>
          <w:tab w:val="num" w:pos="5760"/>
        </w:tabs>
        <w:ind w:left="5760" w:hanging="360"/>
      </w:pPr>
      <w:rPr>
        <w:rFonts w:ascii="Arial" w:hAnsi="Arial" w:hint="default"/>
      </w:rPr>
    </w:lvl>
    <w:lvl w:ilvl="8" w:tplc="02220B08" w:tentative="1">
      <w:start w:val="1"/>
      <w:numFmt w:val="bullet"/>
      <w:lvlText w:val="•"/>
      <w:lvlJc w:val="left"/>
      <w:pPr>
        <w:tabs>
          <w:tab w:val="num" w:pos="6480"/>
        </w:tabs>
        <w:ind w:left="6480" w:hanging="360"/>
      </w:pPr>
      <w:rPr>
        <w:rFonts w:ascii="Arial" w:hAnsi="Arial" w:hint="default"/>
      </w:rPr>
    </w:lvl>
  </w:abstractNum>
  <w:abstractNum w:abstractNumId="12">
    <w:nsid w:val="47CA5BD8"/>
    <w:multiLevelType w:val="hybridMultilevel"/>
    <w:tmpl w:val="91F2834E"/>
    <w:lvl w:ilvl="0" w:tplc="C94E494C">
      <w:start w:val="1"/>
      <w:numFmt w:val="bullet"/>
      <w:lvlText w:val="•"/>
      <w:lvlJc w:val="left"/>
      <w:pPr>
        <w:tabs>
          <w:tab w:val="num" w:pos="720"/>
        </w:tabs>
        <w:ind w:left="720" w:hanging="360"/>
      </w:pPr>
      <w:rPr>
        <w:rFonts w:ascii="Arial" w:hAnsi="Arial" w:hint="default"/>
      </w:rPr>
    </w:lvl>
    <w:lvl w:ilvl="1" w:tplc="43FC96F6">
      <w:start w:val="2417"/>
      <w:numFmt w:val="bullet"/>
      <w:lvlText w:val="–"/>
      <w:lvlJc w:val="left"/>
      <w:pPr>
        <w:tabs>
          <w:tab w:val="num" w:pos="1440"/>
        </w:tabs>
        <w:ind w:left="1440" w:hanging="360"/>
      </w:pPr>
      <w:rPr>
        <w:rFonts w:ascii="Arial" w:hAnsi="Arial" w:hint="default"/>
      </w:rPr>
    </w:lvl>
    <w:lvl w:ilvl="2" w:tplc="EC2C05F2" w:tentative="1">
      <w:start w:val="1"/>
      <w:numFmt w:val="bullet"/>
      <w:lvlText w:val="•"/>
      <w:lvlJc w:val="left"/>
      <w:pPr>
        <w:tabs>
          <w:tab w:val="num" w:pos="2160"/>
        </w:tabs>
        <w:ind w:left="2160" w:hanging="360"/>
      </w:pPr>
      <w:rPr>
        <w:rFonts w:ascii="Arial" w:hAnsi="Arial" w:hint="default"/>
      </w:rPr>
    </w:lvl>
    <w:lvl w:ilvl="3" w:tplc="7C903B96" w:tentative="1">
      <w:start w:val="1"/>
      <w:numFmt w:val="bullet"/>
      <w:lvlText w:val="•"/>
      <w:lvlJc w:val="left"/>
      <w:pPr>
        <w:tabs>
          <w:tab w:val="num" w:pos="2880"/>
        </w:tabs>
        <w:ind w:left="2880" w:hanging="360"/>
      </w:pPr>
      <w:rPr>
        <w:rFonts w:ascii="Arial" w:hAnsi="Arial" w:hint="default"/>
      </w:rPr>
    </w:lvl>
    <w:lvl w:ilvl="4" w:tplc="3880D99A" w:tentative="1">
      <w:start w:val="1"/>
      <w:numFmt w:val="bullet"/>
      <w:lvlText w:val="•"/>
      <w:lvlJc w:val="left"/>
      <w:pPr>
        <w:tabs>
          <w:tab w:val="num" w:pos="3600"/>
        </w:tabs>
        <w:ind w:left="3600" w:hanging="360"/>
      </w:pPr>
      <w:rPr>
        <w:rFonts w:ascii="Arial" w:hAnsi="Arial" w:hint="default"/>
      </w:rPr>
    </w:lvl>
    <w:lvl w:ilvl="5" w:tplc="746233C8" w:tentative="1">
      <w:start w:val="1"/>
      <w:numFmt w:val="bullet"/>
      <w:lvlText w:val="•"/>
      <w:lvlJc w:val="left"/>
      <w:pPr>
        <w:tabs>
          <w:tab w:val="num" w:pos="4320"/>
        </w:tabs>
        <w:ind w:left="4320" w:hanging="360"/>
      </w:pPr>
      <w:rPr>
        <w:rFonts w:ascii="Arial" w:hAnsi="Arial" w:hint="default"/>
      </w:rPr>
    </w:lvl>
    <w:lvl w:ilvl="6" w:tplc="020CCAB8" w:tentative="1">
      <w:start w:val="1"/>
      <w:numFmt w:val="bullet"/>
      <w:lvlText w:val="•"/>
      <w:lvlJc w:val="left"/>
      <w:pPr>
        <w:tabs>
          <w:tab w:val="num" w:pos="5040"/>
        </w:tabs>
        <w:ind w:left="5040" w:hanging="360"/>
      </w:pPr>
      <w:rPr>
        <w:rFonts w:ascii="Arial" w:hAnsi="Arial" w:hint="default"/>
      </w:rPr>
    </w:lvl>
    <w:lvl w:ilvl="7" w:tplc="7D3E3BB6" w:tentative="1">
      <w:start w:val="1"/>
      <w:numFmt w:val="bullet"/>
      <w:lvlText w:val="•"/>
      <w:lvlJc w:val="left"/>
      <w:pPr>
        <w:tabs>
          <w:tab w:val="num" w:pos="5760"/>
        </w:tabs>
        <w:ind w:left="5760" w:hanging="360"/>
      </w:pPr>
      <w:rPr>
        <w:rFonts w:ascii="Arial" w:hAnsi="Arial" w:hint="default"/>
      </w:rPr>
    </w:lvl>
    <w:lvl w:ilvl="8" w:tplc="3BE0679E" w:tentative="1">
      <w:start w:val="1"/>
      <w:numFmt w:val="bullet"/>
      <w:lvlText w:val="•"/>
      <w:lvlJc w:val="left"/>
      <w:pPr>
        <w:tabs>
          <w:tab w:val="num" w:pos="6480"/>
        </w:tabs>
        <w:ind w:left="6480" w:hanging="360"/>
      </w:pPr>
      <w:rPr>
        <w:rFonts w:ascii="Arial" w:hAnsi="Arial" w:hint="default"/>
      </w:rPr>
    </w:lvl>
  </w:abstractNum>
  <w:abstractNum w:abstractNumId="13">
    <w:nsid w:val="4DB6065E"/>
    <w:multiLevelType w:val="hybridMultilevel"/>
    <w:tmpl w:val="CD7486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E706E57"/>
    <w:multiLevelType w:val="hybridMultilevel"/>
    <w:tmpl w:val="9E468C80"/>
    <w:lvl w:ilvl="0" w:tplc="AC58172A">
      <w:start w:val="1"/>
      <w:numFmt w:val="bullet"/>
      <w:lvlText w:val="•"/>
      <w:lvlJc w:val="left"/>
      <w:pPr>
        <w:tabs>
          <w:tab w:val="num" w:pos="720"/>
        </w:tabs>
        <w:ind w:left="720" w:hanging="360"/>
      </w:pPr>
      <w:rPr>
        <w:rFonts w:ascii="Arial" w:hAnsi="Arial" w:hint="default"/>
      </w:rPr>
    </w:lvl>
    <w:lvl w:ilvl="1" w:tplc="E36A0994" w:tentative="1">
      <w:start w:val="1"/>
      <w:numFmt w:val="bullet"/>
      <w:lvlText w:val="•"/>
      <w:lvlJc w:val="left"/>
      <w:pPr>
        <w:tabs>
          <w:tab w:val="num" w:pos="1440"/>
        </w:tabs>
        <w:ind w:left="1440" w:hanging="360"/>
      </w:pPr>
      <w:rPr>
        <w:rFonts w:ascii="Arial" w:hAnsi="Arial" w:hint="default"/>
      </w:rPr>
    </w:lvl>
    <w:lvl w:ilvl="2" w:tplc="EF762DD0" w:tentative="1">
      <w:start w:val="1"/>
      <w:numFmt w:val="bullet"/>
      <w:lvlText w:val="•"/>
      <w:lvlJc w:val="left"/>
      <w:pPr>
        <w:tabs>
          <w:tab w:val="num" w:pos="2160"/>
        </w:tabs>
        <w:ind w:left="2160" w:hanging="360"/>
      </w:pPr>
      <w:rPr>
        <w:rFonts w:ascii="Arial" w:hAnsi="Arial" w:hint="default"/>
      </w:rPr>
    </w:lvl>
    <w:lvl w:ilvl="3" w:tplc="10724CFA" w:tentative="1">
      <w:start w:val="1"/>
      <w:numFmt w:val="bullet"/>
      <w:lvlText w:val="•"/>
      <w:lvlJc w:val="left"/>
      <w:pPr>
        <w:tabs>
          <w:tab w:val="num" w:pos="2880"/>
        </w:tabs>
        <w:ind w:left="2880" w:hanging="360"/>
      </w:pPr>
      <w:rPr>
        <w:rFonts w:ascii="Arial" w:hAnsi="Arial" w:hint="default"/>
      </w:rPr>
    </w:lvl>
    <w:lvl w:ilvl="4" w:tplc="9B20A60C" w:tentative="1">
      <w:start w:val="1"/>
      <w:numFmt w:val="bullet"/>
      <w:lvlText w:val="•"/>
      <w:lvlJc w:val="left"/>
      <w:pPr>
        <w:tabs>
          <w:tab w:val="num" w:pos="3600"/>
        </w:tabs>
        <w:ind w:left="3600" w:hanging="360"/>
      </w:pPr>
      <w:rPr>
        <w:rFonts w:ascii="Arial" w:hAnsi="Arial" w:hint="default"/>
      </w:rPr>
    </w:lvl>
    <w:lvl w:ilvl="5" w:tplc="C51ECDAE" w:tentative="1">
      <w:start w:val="1"/>
      <w:numFmt w:val="bullet"/>
      <w:lvlText w:val="•"/>
      <w:lvlJc w:val="left"/>
      <w:pPr>
        <w:tabs>
          <w:tab w:val="num" w:pos="4320"/>
        </w:tabs>
        <w:ind w:left="4320" w:hanging="360"/>
      </w:pPr>
      <w:rPr>
        <w:rFonts w:ascii="Arial" w:hAnsi="Arial" w:hint="default"/>
      </w:rPr>
    </w:lvl>
    <w:lvl w:ilvl="6" w:tplc="35463138" w:tentative="1">
      <w:start w:val="1"/>
      <w:numFmt w:val="bullet"/>
      <w:lvlText w:val="•"/>
      <w:lvlJc w:val="left"/>
      <w:pPr>
        <w:tabs>
          <w:tab w:val="num" w:pos="5040"/>
        </w:tabs>
        <w:ind w:left="5040" w:hanging="360"/>
      </w:pPr>
      <w:rPr>
        <w:rFonts w:ascii="Arial" w:hAnsi="Arial" w:hint="default"/>
      </w:rPr>
    </w:lvl>
    <w:lvl w:ilvl="7" w:tplc="8C006916" w:tentative="1">
      <w:start w:val="1"/>
      <w:numFmt w:val="bullet"/>
      <w:lvlText w:val="•"/>
      <w:lvlJc w:val="left"/>
      <w:pPr>
        <w:tabs>
          <w:tab w:val="num" w:pos="5760"/>
        </w:tabs>
        <w:ind w:left="5760" w:hanging="360"/>
      </w:pPr>
      <w:rPr>
        <w:rFonts w:ascii="Arial" w:hAnsi="Arial" w:hint="default"/>
      </w:rPr>
    </w:lvl>
    <w:lvl w:ilvl="8" w:tplc="DEA05CFE" w:tentative="1">
      <w:start w:val="1"/>
      <w:numFmt w:val="bullet"/>
      <w:lvlText w:val="•"/>
      <w:lvlJc w:val="left"/>
      <w:pPr>
        <w:tabs>
          <w:tab w:val="num" w:pos="6480"/>
        </w:tabs>
        <w:ind w:left="6480" w:hanging="360"/>
      </w:pPr>
      <w:rPr>
        <w:rFonts w:ascii="Arial" w:hAnsi="Arial" w:hint="default"/>
      </w:rPr>
    </w:lvl>
  </w:abstractNum>
  <w:abstractNum w:abstractNumId="15">
    <w:nsid w:val="53CC0CBA"/>
    <w:multiLevelType w:val="singleLevel"/>
    <w:tmpl w:val="AFF86D6C"/>
    <w:lvl w:ilvl="0">
      <w:start w:val="1"/>
      <w:numFmt w:val="upperLetter"/>
      <w:pStyle w:val="ALPHAlist1"/>
      <w:lvlText w:val="(%1)"/>
      <w:lvlJc w:val="left"/>
      <w:pPr>
        <w:tabs>
          <w:tab w:val="num" w:pos="360"/>
        </w:tabs>
        <w:ind w:left="360" w:hanging="360"/>
      </w:pPr>
    </w:lvl>
  </w:abstractNum>
  <w:abstractNum w:abstractNumId="16">
    <w:nsid w:val="557B1466"/>
    <w:multiLevelType w:val="hybridMultilevel"/>
    <w:tmpl w:val="7BBC4E36"/>
    <w:lvl w:ilvl="0" w:tplc="C826DE36">
      <w:start w:val="1"/>
      <w:numFmt w:val="bullet"/>
      <w:lvlText w:val="•"/>
      <w:lvlJc w:val="left"/>
      <w:pPr>
        <w:tabs>
          <w:tab w:val="num" w:pos="720"/>
        </w:tabs>
        <w:ind w:left="720" w:hanging="360"/>
      </w:pPr>
      <w:rPr>
        <w:rFonts w:ascii="Arial" w:hAnsi="Arial" w:hint="default"/>
      </w:rPr>
    </w:lvl>
    <w:lvl w:ilvl="1" w:tplc="4322BC7C" w:tentative="1">
      <w:start w:val="1"/>
      <w:numFmt w:val="bullet"/>
      <w:lvlText w:val="•"/>
      <w:lvlJc w:val="left"/>
      <w:pPr>
        <w:tabs>
          <w:tab w:val="num" w:pos="1440"/>
        </w:tabs>
        <w:ind w:left="1440" w:hanging="360"/>
      </w:pPr>
      <w:rPr>
        <w:rFonts w:ascii="Arial" w:hAnsi="Arial" w:hint="default"/>
      </w:rPr>
    </w:lvl>
    <w:lvl w:ilvl="2" w:tplc="9216F4A8" w:tentative="1">
      <w:start w:val="1"/>
      <w:numFmt w:val="bullet"/>
      <w:lvlText w:val="•"/>
      <w:lvlJc w:val="left"/>
      <w:pPr>
        <w:tabs>
          <w:tab w:val="num" w:pos="2160"/>
        </w:tabs>
        <w:ind w:left="2160" w:hanging="360"/>
      </w:pPr>
      <w:rPr>
        <w:rFonts w:ascii="Arial" w:hAnsi="Arial" w:hint="default"/>
      </w:rPr>
    </w:lvl>
    <w:lvl w:ilvl="3" w:tplc="707CC984" w:tentative="1">
      <w:start w:val="1"/>
      <w:numFmt w:val="bullet"/>
      <w:lvlText w:val="•"/>
      <w:lvlJc w:val="left"/>
      <w:pPr>
        <w:tabs>
          <w:tab w:val="num" w:pos="2880"/>
        </w:tabs>
        <w:ind w:left="2880" w:hanging="360"/>
      </w:pPr>
      <w:rPr>
        <w:rFonts w:ascii="Arial" w:hAnsi="Arial" w:hint="default"/>
      </w:rPr>
    </w:lvl>
    <w:lvl w:ilvl="4" w:tplc="4A40ECE4" w:tentative="1">
      <w:start w:val="1"/>
      <w:numFmt w:val="bullet"/>
      <w:lvlText w:val="•"/>
      <w:lvlJc w:val="left"/>
      <w:pPr>
        <w:tabs>
          <w:tab w:val="num" w:pos="3600"/>
        </w:tabs>
        <w:ind w:left="3600" w:hanging="360"/>
      </w:pPr>
      <w:rPr>
        <w:rFonts w:ascii="Arial" w:hAnsi="Arial" w:hint="default"/>
      </w:rPr>
    </w:lvl>
    <w:lvl w:ilvl="5" w:tplc="71F089B8" w:tentative="1">
      <w:start w:val="1"/>
      <w:numFmt w:val="bullet"/>
      <w:lvlText w:val="•"/>
      <w:lvlJc w:val="left"/>
      <w:pPr>
        <w:tabs>
          <w:tab w:val="num" w:pos="4320"/>
        </w:tabs>
        <w:ind w:left="4320" w:hanging="360"/>
      </w:pPr>
      <w:rPr>
        <w:rFonts w:ascii="Arial" w:hAnsi="Arial" w:hint="default"/>
      </w:rPr>
    </w:lvl>
    <w:lvl w:ilvl="6" w:tplc="D2ACC30A" w:tentative="1">
      <w:start w:val="1"/>
      <w:numFmt w:val="bullet"/>
      <w:lvlText w:val="•"/>
      <w:lvlJc w:val="left"/>
      <w:pPr>
        <w:tabs>
          <w:tab w:val="num" w:pos="5040"/>
        </w:tabs>
        <w:ind w:left="5040" w:hanging="360"/>
      </w:pPr>
      <w:rPr>
        <w:rFonts w:ascii="Arial" w:hAnsi="Arial" w:hint="default"/>
      </w:rPr>
    </w:lvl>
    <w:lvl w:ilvl="7" w:tplc="080CFC5E" w:tentative="1">
      <w:start w:val="1"/>
      <w:numFmt w:val="bullet"/>
      <w:lvlText w:val="•"/>
      <w:lvlJc w:val="left"/>
      <w:pPr>
        <w:tabs>
          <w:tab w:val="num" w:pos="5760"/>
        </w:tabs>
        <w:ind w:left="5760" w:hanging="360"/>
      </w:pPr>
      <w:rPr>
        <w:rFonts w:ascii="Arial" w:hAnsi="Arial" w:hint="default"/>
      </w:rPr>
    </w:lvl>
    <w:lvl w:ilvl="8" w:tplc="36387356" w:tentative="1">
      <w:start w:val="1"/>
      <w:numFmt w:val="bullet"/>
      <w:lvlText w:val="•"/>
      <w:lvlJc w:val="left"/>
      <w:pPr>
        <w:tabs>
          <w:tab w:val="num" w:pos="6480"/>
        </w:tabs>
        <w:ind w:left="6480" w:hanging="360"/>
      </w:pPr>
      <w:rPr>
        <w:rFonts w:ascii="Arial" w:hAnsi="Arial" w:hint="default"/>
      </w:rPr>
    </w:lvl>
  </w:abstractNum>
  <w:abstractNum w:abstractNumId="17">
    <w:nsid w:val="5582272A"/>
    <w:multiLevelType w:val="hybridMultilevel"/>
    <w:tmpl w:val="663A4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0264D1"/>
    <w:multiLevelType w:val="hybridMultilevel"/>
    <w:tmpl w:val="E8E43808"/>
    <w:lvl w:ilvl="0" w:tplc="F5205026">
      <w:start w:val="1"/>
      <w:numFmt w:val="bullet"/>
      <w:lvlText w:val="•"/>
      <w:lvlJc w:val="left"/>
      <w:pPr>
        <w:tabs>
          <w:tab w:val="num" w:pos="720"/>
        </w:tabs>
        <w:ind w:left="720" w:hanging="360"/>
      </w:pPr>
      <w:rPr>
        <w:rFonts w:ascii="Arial" w:hAnsi="Arial" w:hint="default"/>
      </w:rPr>
    </w:lvl>
    <w:lvl w:ilvl="1" w:tplc="1EC254F4">
      <w:start w:val="1989"/>
      <w:numFmt w:val="bullet"/>
      <w:lvlText w:val="–"/>
      <w:lvlJc w:val="left"/>
      <w:pPr>
        <w:tabs>
          <w:tab w:val="num" w:pos="1440"/>
        </w:tabs>
        <w:ind w:left="1440" w:hanging="360"/>
      </w:pPr>
      <w:rPr>
        <w:rFonts w:ascii="Arial" w:hAnsi="Arial" w:hint="default"/>
      </w:rPr>
    </w:lvl>
    <w:lvl w:ilvl="2" w:tplc="8DDA71B0" w:tentative="1">
      <w:start w:val="1"/>
      <w:numFmt w:val="bullet"/>
      <w:lvlText w:val="•"/>
      <w:lvlJc w:val="left"/>
      <w:pPr>
        <w:tabs>
          <w:tab w:val="num" w:pos="2160"/>
        </w:tabs>
        <w:ind w:left="2160" w:hanging="360"/>
      </w:pPr>
      <w:rPr>
        <w:rFonts w:ascii="Arial" w:hAnsi="Arial" w:hint="default"/>
      </w:rPr>
    </w:lvl>
    <w:lvl w:ilvl="3" w:tplc="D0D895A0" w:tentative="1">
      <w:start w:val="1"/>
      <w:numFmt w:val="bullet"/>
      <w:lvlText w:val="•"/>
      <w:lvlJc w:val="left"/>
      <w:pPr>
        <w:tabs>
          <w:tab w:val="num" w:pos="2880"/>
        </w:tabs>
        <w:ind w:left="2880" w:hanging="360"/>
      </w:pPr>
      <w:rPr>
        <w:rFonts w:ascii="Arial" w:hAnsi="Arial" w:hint="default"/>
      </w:rPr>
    </w:lvl>
    <w:lvl w:ilvl="4" w:tplc="C8D2D672" w:tentative="1">
      <w:start w:val="1"/>
      <w:numFmt w:val="bullet"/>
      <w:lvlText w:val="•"/>
      <w:lvlJc w:val="left"/>
      <w:pPr>
        <w:tabs>
          <w:tab w:val="num" w:pos="3600"/>
        </w:tabs>
        <w:ind w:left="3600" w:hanging="360"/>
      </w:pPr>
      <w:rPr>
        <w:rFonts w:ascii="Arial" w:hAnsi="Arial" w:hint="default"/>
      </w:rPr>
    </w:lvl>
    <w:lvl w:ilvl="5" w:tplc="52142ACE" w:tentative="1">
      <w:start w:val="1"/>
      <w:numFmt w:val="bullet"/>
      <w:lvlText w:val="•"/>
      <w:lvlJc w:val="left"/>
      <w:pPr>
        <w:tabs>
          <w:tab w:val="num" w:pos="4320"/>
        </w:tabs>
        <w:ind w:left="4320" w:hanging="360"/>
      </w:pPr>
      <w:rPr>
        <w:rFonts w:ascii="Arial" w:hAnsi="Arial" w:hint="default"/>
      </w:rPr>
    </w:lvl>
    <w:lvl w:ilvl="6" w:tplc="AAAACD8E" w:tentative="1">
      <w:start w:val="1"/>
      <w:numFmt w:val="bullet"/>
      <w:lvlText w:val="•"/>
      <w:lvlJc w:val="left"/>
      <w:pPr>
        <w:tabs>
          <w:tab w:val="num" w:pos="5040"/>
        </w:tabs>
        <w:ind w:left="5040" w:hanging="360"/>
      </w:pPr>
      <w:rPr>
        <w:rFonts w:ascii="Arial" w:hAnsi="Arial" w:hint="default"/>
      </w:rPr>
    </w:lvl>
    <w:lvl w:ilvl="7" w:tplc="77D00BFC" w:tentative="1">
      <w:start w:val="1"/>
      <w:numFmt w:val="bullet"/>
      <w:lvlText w:val="•"/>
      <w:lvlJc w:val="left"/>
      <w:pPr>
        <w:tabs>
          <w:tab w:val="num" w:pos="5760"/>
        </w:tabs>
        <w:ind w:left="5760" w:hanging="360"/>
      </w:pPr>
      <w:rPr>
        <w:rFonts w:ascii="Arial" w:hAnsi="Arial" w:hint="default"/>
      </w:rPr>
    </w:lvl>
    <w:lvl w:ilvl="8" w:tplc="0A8639C2" w:tentative="1">
      <w:start w:val="1"/>
      <w:numFmt w:val="bullet"/>
      <w:lvlText w:val="•"/>
      <w:lvlJc w:val="left"/>
      <w:pPr>
        <w:tabs>
          <w:tab w:val="num" w:pos="6480"/>
        </w:tabs>
        <w:ind w:left="6480" w:hanging="360"/>
      </w:pPr>
      <w:rPr>
        <w:rFonts w:ascii="Arial" w:hAnsi="Arial" w:hint="default"/>
      </w:rPr>
    </w:lvl>
  </w:abstractNum>
  <w:abstractNum w:abstractNumId="19">
    <w:nsid w:val="6C814CD7"/>
    <w:multiLevelType w:val="hybridMultilevel"/>
    <w:tmpl w:val="295E5864"/>
    <w:lvl w:ilvl="0" w:tplc="581A37E6">
      <w:start w:val="1"/>
      <w:numFmt w:val="bullet"/>
      <w:lvlText w:val="•"/>
      <w:lvlJc w:val="left"/>
      <w:pPr>
        <w:tabs>
          <w:tab w:val="num" w:pos="720"/>
        </w:tabs>
        <w:ind w:left="720" w:hanging="360"/>
      </w:pPr>
      <w:rPr>
        <w:rFonts w:ascii="Arial" w:hAnsi="Arial" w:hint="default"/>
      </w:rPr>
    </w:lvl>
    <w:lvl w:ilvl="1" w:tplc="EBE20672" w:tentative="1">
      <w:start w:val="1"/>
      <w:numFmt w:val="bullet"/>
      <w:lvlText w:val="•"/>
      <w:lvlJc w:val="left"/>
      <w:pPr>
        <w:tabs>
          <w:tab w:val="num" w:pos="1440"/>
        </w:tabs>
        <w:ind w:left="1440" w:hanging="360"/>
      </w:pPr>
      <w:rPr>
        <w:rFonts w:ascii="Arial" w:hAnsi="Arial" w:hint="default"/>
      </w:rPr>
    </w:lvl>
    <w:lvl w:ilvl="2" w:tplc="82046698" w:tentative="1">
      <w:start w:val="1"/>
      <w:numFmt w:val="bullet"/>
      <w:lvlText w:val="•"/>
      <w:lvlJc w:val="left"/>
      <w:pPr>
        <w:tabs>
          <w:tab w:val="num" w:pos="2160"/>
        </w:tabs>
        <w:ind w:left="2160" w:hanging="360"/>
      </w:pPr>
      <w:rPr>
        <w:rFonts w:ascii="Arial" w:hAnsi="Arial" w:hint="default"/>
      </w:rPr>
    </w:lvl>
    <w:lvl w:ilvl="3" w:tplc="75B887C6" w:tentative="1">
      <w:start w:val="1"/>
      <w:numFmt w:val="bullet"/>
      <w:lvlText w:val="•"/>
      <w:lvlJc w:val="left"/>
      <w:pPr>
        <w:tabs>
          <w:tab w:val="num" w:pos="2880"/>
        </w:tabs>
        <w:ind w:left="2880" w:hanging="360"/>
      </w:pPr>
      <w:rPr>
        <w:rFonts w:ascii="Arial" w:hAnsi="Arial" w:hint="default"/>
      </w:rPr>
    </w:lvl>
    <w:lvl w:ilvl="4" w:tplc="3B08049A" w:tentative="1">
      <w:start w:val="1"/>
      <w:numFmt w:val="bullet"/>
      <w:lvlText w:val="•"/>
      <w:lvlJc w:val="left"/>
      <w:pPr>
        <w:tabs>
          <w:tab w:val="num" w:pos="3600"/>
        </w:tabs>
        <w:ind w:left="3600" w:hanging="360"/>
      </w:pPr>
      <w:rPr>
        <w:rFonts w:ascii="Arial" w:hAnsi="Arial" w:hint="default"/>
      </w:rPr>
    </w:lvl>
    <w:lvl w:ilvl="5" w:tplc="C95A2174" w:tentative="1">
      <w:start w:val="1"/>
      <w:numFmt w:val="bullet"/>
      <w:lvlText w:val="•"/>
      <w:lvlJc w:val="left"/>
      <w:pPr>
        <w:tabs>
          <w:tab w:val="num" w:pos="4320"/>
        </w:tabs>
        <w:ind w:left="4320" w:hanging="360"/>
      </w:pPr>
      <w:rPr>
        <w:rFonts w:ascii="Arial" w:hAnsi="Arial" w:hint="default"/>
      </w:rPr>
    </w:lvl>
    <w:lvl w:ilvl="6" w:tplc="AFC49B04" w:tentative="1">
      <w:start w:val="1"/>
      <w:numFmt w:val="bullet"/>
      <w:lvlText w:val="•"/>
      <w:lvlJc w:val="left"/>
      <w:pPr>
        <w:tabs>
          <w:tab w:val="num" w:pos="5040"/>
        </w:tabs>
        <w:ind w:left="5040" w:hanging="360"/>
      </w:pPr>
      <w:rPr>
        <w:rFonts w:ascii="Arial" w:hAnsi="Arial" w:hint="default"/>
      </w:rPr>
    </w:lvl>
    <w:lvl w:ilvl="7" w:tplc="809C761C" w:tentative="1">
      <w:start w:val="1"/>
      <w:numFmt w:val="bullet"/>
      <w:lvlText w:val="•"/>
      <w:lvlJc w:val="left"/>
      <w:pPr>
        <w:tabs>
          <w:tab w:val="num" w:pos="5760"/>
        </w:tabs>
        <w:ind w:left="5760" w:hanging="360"/>
      </w:pPr>
      <w:rPr>
        <w:rFonts w:ascii="Arial" w:hAnsi="Arial" w:hint="default"/>
      </w:rPr>
    </w:lvl>
    <w:lvl w:ilvl="8" w:tplc="A63CF59A" w:tentative="1">
      <w:start w:val="1"/>
      <w:numFmt w:val="bullet"/>
      <w:lvlText w:val="•"/>
      <w:lvlJc w:val="left"/>
      <w:pPr>
        <w:tabs>
          <w:tab w:val="num" w:pos="6480"/>
        </w:tabs>
        <w:ind w:left="6480" w:hanging="360"/>
      </w:pPr>
      <w:rPr>
        <w:rFonts w:ascii="Arial" w:hAnsi="Arial" w:hint="default"/>
      </w:rPr>
    </w:lvl>
  </w:abstractNum>
  <w:abstractNum w:abstractNumId="20">
    <w:nsid w:val="7A932A5A"/>
    <w:multiLevelType w:val="hybridMultilevel"/>
    <w:tmpl w:val="D37CD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1"/>
  </w:num>
  <w:num w:numId="4">
    <w:abstractNumId w:val="12"/>
  </w:num>
  <w:num w:numId="5">
    <w:abstractNumId w:val="18"/>
  </w:num>
  <w:num w:numId="6">
    <w:abstractNumId w:val="0"/>
  </w:num>
  <w:num w:numId="7">
    <w:abstractNumId w:val="5"/>
  </w:num>
  <w:num w:numId="8">
    <w:abstractNumId w:val="2"/>
  </w:num>
  <w:num w:numId="9">
    <w:abstractNumId w:val="19"/>
  </w:num>
  <w:num w:numId="10">
    <w:abstractNumId w:val="3"/>
  </w:num>
  <w:num w:numId="11">
    <w:abstractNumId w:val="14"/>
  </w:num>
  <w:num w:numId="12">
    <w:abstractNumId w:val="1"/>
  </w:num>
  <w:num w:numId="13">
    <w:abstractNumId w:val="9"/>
  </w:num>
  <w:num w:numId="14">
    <w:abstractNumId w:val="4"/>
  </w:num>
  <w:num w:numId="15">
    <w:abstractNumId w:val="7"/>
  </w:num>
  <w:num w:numId="16">
    <w:abstractNumId w:val="15"/>
  </w:num>
  <w:num w:numId="17">
    <w:abstractNumId w:val="20"/>
  </w:num>
  <w:num w:numId="18">
    <w:abstractNumId w:val="8"/>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2183"/>
    <w:rsid w:val="00011E0E"/>
    <w:rsid w:val="000466BA"/>
    <w:rsid w:val="00050EED"/>
    <w:rsid w:val="000556AA"/>
    <w:rsid w:val="00072AEC"/>
    <w:rsid w:val="00075EE6"/>
    <w:rsid w:val="00087884"/>
    <w:rsid w:val="00095532"/>
    <w:rsid w:val="000B12EB"/>
    <w:rsid w:val="000D109E"/>
    <w:rsid w:val="000D33B8"/>
    <w:rsid w:val="000D58EA"/>
    <w:rsid w:val="000F49FF"/>
    <w:rsid w:val="0010554F"/>
    <w:rsid w:val="001348D7"/>
    <w:rsid w:val="0015345B"/>
    <w:rsid w:val="00163160"/>
    <w:rsid w:val="00170C83"/>
    <w:rsid w:val="00172078"/>
    <w:rsid w:val="001A2549"/>
    <w:rsid w:val="001A27AC"/>
    <w:rsid w:val="001B2368"/>
    <w:rsid w:val="001D7403"/>
    <w:rsid w:val="001F5A70"/>
    <w:rsid w:val="00252F39"/>
    <w:rsid w:val="00267AD9"/>
    <w:rsid w:val="0028236A"/>
    <w:rsid w:val="002832EC"/>
    <w:rsid w:val="002B72B1"/>
    <w:rsid w:val="002C54AD"/>
    <w:rsid w:val="002E6A5C"/>
    <w:rsid w:val="002E6E39"/>
    <w:rsid w:val="002F57FA"/>
    <w:rsid w:val="002F74C3"/>
    <w:rsid w:val="00316A39"/>
    <w:rsid w:val="003223D1"/>
    <w:rsid w:val="00343732"/>
    <w:rsid w:val="00343D35"/>
    <w:rsid w:val="00355842"/>
    <w:rsid w:val="00360999"/>
    <w:rsid w:val="00377BB1"/>
    <w:rsid w:val="00381CAA"/>
    <w:rsid w:val="003A67AC"/>
    <w:rsid w:val="003A7D78"/>
    <w:rsid w:val="003C5290"/>
    <w:rsid w:val="00406817"/>
    <w:rsid w:val="004113CE"/>
    <w:rsid w:val="004116DC"/>
    <w:rsid w:val="0041236F"/>
    <w:rsid w:val="004218FF"/>
    <w:rsid w:val="00422C69"/>
    <w:rsid w:val="00447814"/>
    <w:rsid w:val="004562E8"/>
    <w:rsid w:val="00460752"/>
    <w:rsid w:val="00487A7F"/>
    <w:rsid w:val="004B00F8"/>
    <w:rsid w:val="004B7CC3"/>
    <w:rsid w:val="004C4DCF"/>
    <w:rsid w:val="004D796C"/>
    <w:rsid w:val="004E79A0"/>
    <w:rsid w:val="004F634F"/>
    <w:rsid w:val="00515B0D"/>
    <w:rsid w:val="005170E8"/>
    <w:rsid w:val="0054053A"/>
    <w:rsid w:val="005472AF"/>
    <w:rsid w:val="00552736"/>
    <w:rsid w:val="00554E16"/>
    <w:rsid w:val="005711CE"/>
    <w:rsid w:val="00587A5A"/>
    <w:rsid w:val="0059306B"/>
    <w:rsid w:val="005A008D"/>
    <w:rsid w:val="005F326B"/>
    <w:rsid w:val="00650465"/>
    <w:rsid w:val="006538EB"/>
    <w:rsid w:val="006562D4"/>
    <w:rsid w:val="0065777D"/>
    <w:rsid w:val="00665D65"/>
    <w:rsid w:val="00681565"/>
    <w:rsid w:val="00686984"/>
    <w:rsid w:val="006C7E61"/>
    <w:rsid w:val="006F1194"/>
    <w:rsid w:val="006F307F"/>
    <w:rsid w:val="00701260"/>
    <w:rsid w:val="00701861"/>
    <w:rsid w:val="00706D6E"/>
    <w:rsid w:val="00750577"/>
    <w:rsid w:val="007541F2"/>
    <w:rsid w:val="00762198"/>
    <w:rsid w:val="007770C4"/>
    <w:rsid w:val="007925DD"/>
    <w:rsid w:val="00795787"/>
    <w:rsid w:val="00797138"/>
    <w:rsid w:val="007A1917"/>
    <w:rsid w:val="007A2426"/>
    <w:rsid w:val="007A5B6E"/>
    <w:rsid w:val="00813C52"/>
    <w:rsid w:val="008224D7"/>
    <w:rsid w:val="00827A06"/>
    <w:rsid w:val="0083776B"/>
    <w:rsid w:val="00850C97"/>
    <w:rsid w:val="00871941"/>
    <w:rsid w:val="00877619"/>
    <w:rsid w:val="00895C81"/>
    <w:rsid w:val="00895D9F"/>
    <w:rsid w:val="008C582E"/>
    <w:rsid w:val="008F1EE1"/>
    <w:rsid w:val="0092045A"/>
    <w:rsid w:val="0093418B"/>
    <w:rsid w:val="00936873"/>
    <w:rsid w:val="009426C6"/>
    <w:rsid w:val="00965AB6"/>
    <w:rsid w:val="00971673"/>
    <w:rsid w:val="00976ABD"/>
    <w:rsid w:val="00993A26"/>
    <w:rsid w:val="009A2060"/>
    <w:rsid w:val="009A7341"/>
    <w:rsid w:val="009B7D6F"/>
    <w:rsid w:val="009C7BFA"/>
    <w:rsid w:val="009D292B"/>
    <w:rsid w:val="009D4EA8"/>
    <w:rsid w:val="009D60D3"/>
    <w:rsid w:val="009F7D22"/>
    <w:rsid w:val="00A3139D"/>
    <w:rsid w:val="00A32DA0"/>
    <w:rsid w:val="00A35527"/>
    <w:rsid w:val="00A41D7E"/>
    <w:rsid w:val="00A500A5"/>
    <w:rsid w:val="00A52888"/>
    <w:rsid w:val="00A73536"/>
    <w:rsid w:val="00A808AB"/>
    <w:rsid w:val="00AC6D92"/>
    <w:rsid w:val="00AD4CC2"/>
    <w:rsid w:val="00AD515B"/>
    <w:rsid w:val="00AD74C3"/>
    <w:rsid w:val="00AE6E18"/>
    <w:rsid w:val="00B523FC"/>
    <w:rsid w:val="00B75347"/>
    <w:rsid w:val="00B76B42"/>
    <w:rsid w:val="00BE0FB2"/>
    <w:rsid w:val="00BF3066"/>
    <w:rsid w:val="00BF3F35"/>
    <w:rsid w:val="00BF6F0D"/>
    <w:rsid w:val="00C06A51"/>
    <w:rsid w:val="00C111AF"/>
    <w:rsid w:val="00C207E8"/>
    <w:rsid w:val="00C2433C"/>
    <w:rsid w:val="00C27A2A"/>
    <w:rsid w:val="00C348BE"/>
    <w:rsid w:val="00C35F12"/>
    <w:rsid w:val="00C42AA7"/>
    <w:rsid w:val="00C43E05"/>
    <w:rsid w:val="00C51EA4"/>
    <w:rsid w:val="00C67257"/>
    <w:rsid w:val="00C94409"/>
    <w:rsid w:val="00CD7BEA"/>
    <w:rsid w:val="00CF3A33"/>
    <w:rsid w:val="00D12C6C"/>
    <w:rsid w:val="00D21676"/>
    <w:rsid w:val="00D22378"/>
    <w:rsid w:val="00D416E0"/>
    <w:rsid w:val="00D425EC"/>
    <w:rsid w:val="00D53A75"/>
    <w:rsid w:val="00D613EB"/>
    <w:rsid w:val="00D627F3"/>
    <w:rsid w:val="00D81457"/>
    <w:rsid w:val="00D9018E"/>
    <w:rsid w:val="00DC03B4"/>
    <w:rsid w:val="00DC0BC3"/>
    <w:rsid w:val="00DC79AF"/>
    <w:rsid w:val="00DD2FB9"/>
    <w:rsid w:val="00DD5E89"/>
    <w:rsid w:val="00E17158"/>
    <w:rsid w:val="00E217CB"/>
    <w:rsid w:val="00E27579"/>
    <w:rsid w:val="00E31425"/>
    <w:rsid w:val="00E35F3A"/>
    <w:rsid w:val="00E5142F"/>
    <w:rsid w:val="00E559CE"/>
    <w:rsid w:val="00EA5F0C"/>
    <w:rsid w:val="00EB6EF5"/>
    <w:rsid w:val="00EC2E84"/>
    <w:rsid w:val="00ED0924"/>
    <w:rsid w:val="00ED4C74"/>
    <w:rsid w:val="00EE15D8"/>
    <w:rsid w:val="00EE7B37"/>
    <w:rsid w:val="00F02C4E"/>
    <w:rsid w:val="00F053E7"/>
    <w:rsid w:val="00F11C9D"/>
    <w:rsid w:val="00F1230A"/>
    <w:rsid w:val="00F12B37"/>
    <w:rsid w:val="00F24F5E"/>
    <w:rsid w:val="00F42183"/>
    <w:rsid w:val="00F52898"/>
    <w:rsid w:val="00F541F6"/>
    <w:rsid w:val="00F649B4"/>
    <w:rsid w:val="00F71449"/>
    <w:rsid w:val="00F94B02"/>
    <w:rsid w:val="00FB2BBF"/>
    <w:rsid w:val="00FF5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78"/>
    <w:rPr>
      <w:lang w:val="en-US"/>
    </w:rPr>
  </w:style>
  <w:style w:type="paragraph" w:styleId="Heading1">
    <w:name w:val="heading 1"/>
    <w:basedOn w:val="Normal"/>
    <w:next w:val="Normal"/>
    <w:link w:val="Heading1Char"/>
    <w:uiPriority w:val="9"/>
    <w:qFormat/>
    <w:rsid w:val="00322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70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2BBF"/>
    <w:pPr>
      <w:spacing w:before="100" w:beforeAutospacing="1" w:after="100" w:afterAutospacing="1" w:line="240" w:lineRule="auto"/>
    </w:pPr>
    <w:rPr>
      <w:rFonts w:ascii="Arial Unicode MS" w:eastAsia="Arial Unicode MS" w:hAnsi="Arial Unicode MS" w:cs="Arial Unicode MS"/>
      <w:sz w:val="24"/>
      <w:szCs w:val="24"/>
      <w:lang w:val="en-AU"/>
    </w:rPr>
  </w:style>
  <w:style w:type="paragraph" w:styleId="ListParagraph">
    <w:name w:val="List Paragraph"/>
    <w:basedOn w:val="Normal"/>
    <w:uiPriority w:val="34"/>
    <w:qFormat/>
    <w:rsid w:val="00FB2BBF"/>
    <w:pPr>
      <w:spacing w:after="0" w:line="240" w:lineRule="auto"/>
      <w:ind w:left="720"/>
      <w:contextualSpacing/>
    </w:pPr>
    <w:rPr>
      <w:rFonts w:ascii="Times New Roman" w:eastAsia="Times New Roman" w:hAnsi="Times New Roman" w:cs="Times New Roman"/>
      <w:sz w:val="24"/>
      <w:szCs w:val="24"/>
      <w:lang w:val="en-AU"/>
    </w:rPr>
  </w:style>
  <w:style w:type="paragraph" w:styleId="FootnoteText">
    <w:name w:val="footnote text"/>
    <w:basedOn w:val="Normal"/>
    <w:link w:val="FootnoteTextChar"/>
    <w:semiHidden/>
    <w:rsid w:val="005A008D"/>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semiHidden/>
    <w:rsid w:val="005A008D"/>
    <w:rPr>
      <w:rFonts w:ascii="Times New Roman" w:eastAsia="Times New Roman" w:hAnsi="Times New Roman" w:cs="Times New Roman"/>
      <w:sz w:val="20"/>
      <w:szCs w:val="20"/>
    </w:rPr>
  </w:style>
  <w:style w:type="character" w:styleId="FootnoteReference">
    <w:name w:val="footnote reference"/>
    <w:aliases w:val="opcalrc,callout"/>
    <w:basedOn w:val="DefaultParagraphFont"/>
    <w:semiHidden/>
    <w:rsid w:val="005A008D"/>
    <w:rPr>
      <w:vertAlign w:val="superscript"/>
    </w:rPr>
  </w:style>
  <w:style w:type="paragraph" w:styleId="BodyText3">
    <w:name w:val="Body Text 3"/>
    <w:basedOn w:val="Normal"/>
    <w:link w:val="BodyText3Char"/>
    <w:semiHidden/>
    <w:rsid w:val="004B00F8"/>
    <w:pPr>
      <w:spacing w:after="0" w:line="240" w:lineRule="auto"/>
      <w:jc w:val="both"/>
    </w:pPr>
    <w:rPr>
      <w:rFonts w:ascii="Times New Roman" w:eastAsia="Times New Roman" w:hAnsi="Times New Roman" w:cs="Times New Roman"/>
      <w:sz w:val="24"/>
      <w:szCs w:val="24"/>
      <w:lang w:val="en-AU"/>
    </w:rPr>
  </w:style>
  <w:style w:type="character" w:customStyle="1" w:styleId="BodyText3Char">
    <w:name w:val="Body Text 3 Char"/>
    <w:basedOn w:val="DefaultParagraphFont"/>
    <w:link w:val="BodyText3"/>
    <w:semiHidden/>
    <w:rsid w:val="004B00F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C0BC3"/>
    <w:pPr>
      <w:spacing w:after="120"/>
    </w:pPr>
  </w:style>
  <w:style w:type="character" w:customStyle="1" w:styleId="BodyTextChar">
    <w:name w:val="Body Text Char"/>
    <w:basedOn w:val="DefaultParagraphFont"/>
    <w:link w:val="BodyText"/>
    <w:uiPriority w:val="99"/>
    <w:semiHidden/>
    <w:rsid w:val="00DC0BC3"/>
    <w:rPr>
      <w:lang w:val="en-US"/>
    </w:rPr>
  </w:style>
  <w:style w:type="paragraph" w:customStyle="1" w:styleId="ALPHAlist1">
    <w:name w:val="ALPHAlist1"/>
    <w:basedOn w:val="Normal"/>
    <w:rsid w:val="00DC0BC3"/>
    <w:pPr>
      <w:numPr>
        <w:numId w:val="16"/>
      </w:numPr>
      <w:tabs>
        <w:tab w:val="clear" w:pos="360"/>
        <w:tab w:val="left" w:pos="1134"/>
      </w:tabs>
      <w:spacing w:before="120" w:after="120" w:line="240" w:lineRule="auto"/>
      <w:ind w:left="1134" w:hanging="567"/>
      <w:jc w:val="both"/>
      <w:outlineLvl w:val="1"/>
    </w:pPr>
    <w:rPr>
      <w:rFonts w:ascii="Times New Roman" w:eastAsia="Times New Roman" w:hAnsi="Times New Roman" w:cs="Times New Roman"/>
      <w:sz w:val="21"/>
      <w:szCs w:val="20"/>
      <w:lang w:val="en-AU"/>
    </w:rPr>
  </w:style>
  <w:style w:type="paragraph" w:styleId="BodyText2">
    <w:name w:val="Body Text 2"/>
    <w:basedOn w:val="Normal"/>
    <w:link w:val="BodyText2Char"/>
    <w:uiPriority w:val="99"/>
    <w:semiHidden/>
    <w:unhideWhenUsed/>
    <w:rsid w:val="0015345B"/>
    <w:pPr>
      <w:spacing w:after="120" w:line="480" w:lineRule="auto"/>
    </w:pPr>
  </w:style>
  <w:style w:type="character" w:customStyle="1" w:styleId="BodyText2Char">
    <w:name w:val="Body Text 2 Char"/>
    <w:basedOn w:val="DefaultParagraphFont"/>
    <w:link w:val="BodyText2"/>
    <w:uiPriority w:val="99"/>
    <w:semiHidden/>
    <w:rsid w:val="0015345B"/>
    <w:rPr>
      <w:lang w:val="en-US"/>
    </w:rPr>
  </w:style>
  <w:style w:type="paragraph" w:styleId="BlockText">
    <w:name w:val="Block Text"/>
    <w:basedOn w:val="Normal"/>
    <w:rsid w:val="0015345B"/>
    <w:pPr>
      <w:spacing w:before="100" w:beforeAutospacing="1" w:after="100" w:afterAutospacing="1" w:line="240" w:lineRule="auto"/>
      <w:ind w:left="720" w:right="720"/>
    </w:pPr>
    <w:rPr>
      <w:rFonts w:ascii="Times New Roman" w:eastAsia="Times New Roman" w:hAnsi="Times New Roman" w:cs="Times New Roman"/>
      <w:sz w:val="32"/>
      <w:szCs w:val="24"/>
      <w:lang/>
    </w:rPr>
  </w:style>
  <w:style w:type="paragraph" w:customStyle="1" w:styleId="Style1">
    <w:name w:val="Style1"/>
    <w:basedOn w:val="EndnoteText"/>
    <w:autoRedefine/>
    <w:rsid w:val="000466BA"/>
    <w:pPr>
      <w:numPr>
        <w:numId w:val="20"/>
      </w:numPr>
      <w:tabs>
        <w:tab w:val="clear" w:pos="720"/>
        <w:tab w:val="num" w:pos="360"/>
        <w:tab w:val="left" w:pos="1260"/>
      </w:tabs>
      <w:ind w:left="624" w:hanging="624"/>
    </w:pPr>
    <w:rPr>
      <w:rFonts w:ascii="Times" w:eastAsia="Times New Roman" w:hAnsi="Times" w:cs="Times New Roman"/>
      <w:szCs w:val="32"/>
      <w:lang w:val="en-AU"/>
    </w:rPr>
  </w:style>
  <w:style w:type="character" w:styleId="EndnoteReference">
    <w:name w:val="endnote reference"/>
    <w:basedOn w:val="DefaultParagraphFont"/>
    <w:semiHidden/>
    <w:unhideWhenUsed/>
    <w:rsid w:val="000466BA"/>
    <w:rPr>
      <w:vertAlign w:val="superscript"/>
    </w:rPr>
  </w:style>
  <w:style w:type="paragraph" w:styleId="EndnoteText">
    <w:name w:val="endnote text"/>
    <w:basedOn w:val="Normal"/>
    <w:link w:val="EndnoteTextChar"/>
    <w:uiPriority w:val="99"/>
    <w:semiHidden/>
    <w:unhideWhenUsed/>
    <w:rsid w:val="000466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BA"/>
    <w:rPr>
      <w:sz w:val="20"/>
      <w:szCs w:val="20"/>
      <w:lang w:val="en-US"/>
    </w:rPr>
  </w:style>
  <w:style w:type="paragraph" w:styleId="Title">
    <w:name w:val="Title"/>
    <w:basedOn w:val="Normal"/>
    <w:next w:val="Normal"/>
    <w:link w:val="TitleChar"/>
    <w:uiPriority w:val="10"/>
    <w:qFormat/>
    <w:rsid w:val="003223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3D1"/>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3223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23D1"/>
    <w:rPr>
      <w:rFonts w:asciiTheme="majorHAnsi" w:eastAsiaTheme="majorEastAsia" w:hAnsiTheme="majorHAnsi" w:cstheme="majorBidi"/>
      <w:i/>
      <w:iCs/>
      <w:color w:val="4F81BD" w:themeColor="accent1"/>
      <w:spacing w:val="15"/>
      <w:sz w:val="24"/>
      <w:szCs w:val="24"/>
      <w:lang w:val="en-US"/>
    </w:rPr>
  </w:style>
  <w:style w:type="character" w:customStyle="1" w:styleId="Heading1Char">
    <w:name w:val="Heading 1 Char"/>
    <w:basedOn w:val="DefaultParagraphFont"/>
    <w:link w:val="Heading1"/>
    <w:uiPriority w:val="9"/>
    <w:rsid w:val="003223D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770C4"/>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70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D6E"/>
    <w:rPr>
      <w:lang w:val="en-US"/>
    </w:rPr>
  </w:style>
  <w:style w:type="paragraph" w:styleId="Footer">
    <w:name w:val="footer"/>
    <w:basedOn w:val="Normal"/>
    <w:link w:val="FooterChar"/>
    <w:uiPriority w:val="99"/>
    <w:unhideWhenUsed/>
    <w:rsid w:val="0070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D6E"/>
    <w:rPr>
      <w:lang w:val="en-US"/>
    </w:rPr>
  </w:style>
  <w:style w:type="character" w:styleId="Emphasis">
    <w:name w:val="Emphasis"/>
    <w:basedOn w:val="DefaultParagraphFont"/>
    <w:uiPriority w:val="20"/>
    <w:qFormat/>
    <w:rsid w:val="00C94409"/>
    <w:rPr>
      <w:i/>
      <w:iCs/>
    </w:rPr>
  </w:style>
  <w:style w:type="character" w:styleId="Strong">
    <w:name w:val="Strong"/>
    <w:basedOn w:val="DefaultParagraphFont"/>
    <w:uiPriority w:val="22"/>
    <w:qFormat/>
    <w:rsid w:val="00C94409"/>
    <w:rPr>
      <w:b/>
      <w:bCs/>
    </w:rPr>
  </w:style>
  <w:style w:type="character" w:styleId="Hyperlink">
    <w:name w:val="Hyperlink"/>
    <w:basedOn w:val="DefaultParagraphFont"/>
    <w:uiPriority w:val="99"/>
    <w:unhideWhenUsed/>
    <w:rsid w:val="00C94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322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70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2BBF"/>
    <w:pPr>
      <w:spacing w:before="100" w:beforeAutospacing="1" w:after="100" w:afterAutospacing="1" w:line="240" w:lineRule="auto"/>
    </w:pPr>
    <w:rPr>
      <w:rFonts w:ascii="Arial Unicode MS" w:eastAsia="Arial Unicode MS" w:hAnsi="Arial Unicode MS" w:cs="Arial Unicode MS"/>
      <w:sz w:val="24"/>
      <w:szCs w:val="24"/>
      <w:lang w:val="en-AU"/>
    </w:rPr>
  </w:style>
  <w:style w:type="paragraph" w:styleId="ListParagraph">
    <w:name w:val="List Paragraph"/>
    <w:basedOn w:val="Normal"/>
    <w:uiPriority w:val="34"/>
    <w:qFormat/>
    <w:rsid w:val="00FB2BBF"/>
    <w:pPr>
      <w:spacing w:after="0" w:line="240" w:lineRule="auto"/>
      <w:ind w:left="720"/>
      <w:contextualSpacing/>
    </w:pPr>
    <w:rPr>
      <w:rFonts w:ascii="Times New Roman" w:eastAsia="Times New Roman" w:hAnsi="Times New Roman" w:cs="Times New Roman"/>
      <w:sz w:val="24"/>
      <w:szCs w:val="24"/>
      <w:lang w:val="en-AU"/>
    </w:rPr>
  </w:style>
  <w:style w:type="paragraph" w:styleId="FootnoteText">
    <w:name w:val="footnote text"/>
    <w:basedOn w:val="Normal"/>
    <w:link w:val="FootnoteTextChar"/>
    <w:semiHidden/>
    <w:rsid w:val="005A008D"/>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semiHidden/>
    <w:rsid w:val="005A008D"/>
    <w:rPr>
      <w:rFonts w:ascii="Times New Roman" w:eastAsia="Times New Roman" w:hAnsi="Times New Roman" w:cs="Times New Roman"/>
      <w:sz w:val="20"/>
      <w:szCs w:val="20"/>
    </w:rPr>
  </w:style>
  <w:style w:type="character" w:styleId="FootnoteReference">
    <w:name w:val="footnote reference"/>
    <w:aliases w:val="opcalrc,callout"/>
    <w:basedOn w:val="DefaultParagraphFont"/>
    <w:semiHidden/>
    <w:rsid w:val="005A008D"/>
    <w:rPr>
      <w:vertAlign w:val="superscript"/>
    </w:rPr>
  </w:style>
  <w:style w:type="paragraph" w:styleId="BodyText3">
    <w:name w:val="Body Text 3"/>
    <w:basedOn w:val="Normal"/>
    <w:link w:val="BodyText3Char"/>
    <w:semiHidden/>
    <w:rsid w:val="004B00F8"/>
    <w:pPr>
      <w:spacing w:after="0" w:line="240" w:lineRule="auto"/>
      <w:jc w:val="both"/>
    </w:pPr>
    <w:rPr>
      <w:rFonts w:ascii="Times New Roman" w:eastAsia="Times New Roman" w:hAnsi="Times New Roman" w:cs="Times New Roman"/>
      <w:sz w:val="24"/>
      <w:szCs w:val="24"/>
      <w:lang w:val="en-AU"/>
    </w:rPr>
  </w:style>
  <w:style w:type="character" w:customStyle="1" w:styleId="BodyText3Char">
    <w:name w:val="Body Text 3 Char"/>
    <w:basedOn w:val="DefaultParagraphFont"/>
    <w:link w:val="BodyText3"/>
    <w:semiHidden/>
    <w:rsid w:val="004B00F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C0BC3"/>
    <w:pPr>
      <w:spacing w:after="120"/>
    </w:pPr>
  </w:style>
  <w:style w:type="character" w:customStyle="1" w:styleId="BodyTextChar">
    <w:name w:val="Body Text Char"/>
    <w:basedOn w:val="DefaultParagraphFont"/>
    <w:link w:val="BodyText"/>
    <w:uiPriority w:val="99"/>
    <w:semiHidden/>
    <w:rsid w:val="00DC0BC3"/>
    <w:rPr>
      <w:lang w:val="en-US"/>
    </w:rPr>
  </w:style>
  <w:style w:type="paragraph" w:customStyle="1" w:styleId="ALPHAlist1">
    <w:name w:val="ALPHAlist1"/>
    <w:basedOn w:val="Normal"/>
    <w:rsid w:val="00DC0BC3"/>
    <w:pPr>
      <w:numPr>
        <w:numId w:val="16"/>
      </w:numPr>
      <w:tabs>
        <w:tab w:val="clear" w:pos="360"/>
        <w:tab w:val="left" w:pos="1134"/>
      </w:tabs>
      <w:spacing w:before="120" w:after="120" w:line="240" w:lineRule="auto"/>
      <w:ind w:left="1134" w:hanging="567"/>
      <w:jc w:val="both"/>
      <w:outlineLvl w:val="1"/>
    </w:pPr>
    <w:rPr>
      <w:rFonts w:ascii="Times New Roman" w:eastAsia="Times New Roman" w:hAnsi="Times New Roman" w:cs="Times New Roman"/>
      <w:sz w:val="21"/>
      <w:szCs w:val="20"/>
      <w:lang w:val="en-AU"/>
    </w:rPr>
  </w:style>
  <w:style w:type="paragraph" w:styleId="BodyText2">
    <w:name w:val="Body Text 2"/>
    <w:basedOn w:val="Normal"/>
    <w:link w:val="BodyText2Char"/>
    <w:uiPriority w:val="99"/>
    <w:semiHidden/>
    <w:unhideWhenUsed/>
    <w:rsid w:val="0015345B"/>
    <w:pPr>
      <w:spacing w:after="120" w:line="480" w:lineRule="auto"/>
    </w:pPr>
  </w:style>
  <w:style w:type="character" w:customStyle="1" w:styleId="BodyText2Char">
    <w:name w:val="Body Text 2 Char"/>
    <w:basedOn w:val="DefaultParagraphFont"/>
    <w:link w:val="BodyText2"/>
    <w:uiPriority w:val="99"/>
    <w:semiHidden/>
    <w:rsid w:val="0015345B"/>
    <w:rPr>
      <w:lang w:val="en-US"/>
    </w:rPr>
  </w:style>
  <w:style w:type="paragraph" w:styleId="BlockText">
    <w:name w:val="Block Text"/>
    <w:basedOn w:val="Normal"/>
    <w:rsid w:val="0015345B"/>
    <w:pPr>
      <w:spacing w:before="100" w:beforeAutospacing="1" w:after="100" w:afterAutospacing="1" w:line="240" w:lineRule="auto"/>
      <w:ind w:left="720" w:right="720"/>
    </w:pPr>
    <w:rPr>
      <w:rFonts w:ascii="Times New Roman" w:eastAsia="Times New Roman" w:hAnsi="Times New Roman" w:cs="Times New Roman"/>
      <w:sz w:val="32"/>
      <w:szCs w:val="24"/>
      <w:lang w:val="en"/>
    </w:rPr>
  </w:style>
  <w:style w:type="paragraph" w:customStyle="1" w:styleId="Style1">
    <w:name w:val="Style1"/>
    <w:basedOn w:val="EndnoteText"/>
    <w:autoRedefine/>
    <w:rsid w:val="000466BA"/>
    <w:pPr>
      <w:numPr>
        <w:numId w:val="20"/>
      </w:numPr>
      <w:tabs>
        <w:tab w:val="clear" w:pos="720"/>
        <w:tab w:val="num" w:pos="360"/>
        <w:tab w:val="left" w:pos="1260"/>
      </w:tabs>
      <w:ind w:left="624" w:hanging="624"/>
    </w:pPr>
    <w:rPr>
      <w:rFonts w:ascii="Times" w:eastAsia="Times New Roman" w:hAnsi="Times" w:cs="Times New Roman"/>
      <w:szCs w:val="32"/>
      <w:lang w:val="en-AU"/>
    </w:rPr>
  </w:style>
  <w:style w:type="character" w:styleId="EndnoteReference">
    <w:name w:val="endnote reference"/>
    <w:basedOn w:val="DefaultParagraphFont"/>
    <w:semiHidden/>
    <w:unhideWhenUsed/>
    <w:rsid w:val="000466BA"/>
    <w:rPr>
      <w:vertAlign w:val="superscript"/>
    </w:rPr>
  </w:style>
  <w:style w:type="paragraph" w:styleId="EndnoteText">
    <w:name w:val="endnote text"/>
    <w:basedOn w:val="Normal"/>
    <w:link w:val="EndnoteTextChar"/>
    <w:uiPriority w:val="99"/>
    <w:semiHidden/>
    <w:unhideWhenUsed/>
    <w:rsid w:val="000466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BA"/>
    <w:rPr>
      <w:sz w:val="20"/>
      <w:szCs w:val="20"/>
      <w:lang w:val="en-US"/>
    </w:rPr>
  </w:style>
  <w:style w:type="paragraph" w:styleId="Title">
    <w:name w:val="Title"/>
    <w:basedOn w:val="Normal"/>
    <w:next w:val="Normal"/>
    <w:link w:val="TitleChar"/>
    <w:uiPriority w:val="10"/>
    <w:qFormat/>
    <w:rsid w:val="003223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3D1"/>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3223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23D1"/>
    <w:rPr>
      <w:rFonts w:asciiTheme="majorHAnsi" w:eastAsiaTheme="majorEastAsia" w:hAnsiTheme="majorHAnsi" w:cstheme="majorBidi"/>
      <w:i/>
      <w:iCs/>
      <w:color w:val="4F81BD" w:themeColor="accent1"/>
      <w:spacing w:val="15"/>
      <w:sz w:val="24"/>
      <w:szCs w:val="24"/>
      <w:lang w:val="en-US"/>
    </w:rPr>
  </w:style>
  <w:style w:type="character" w:customStyle="1" w:styleId="Heading1Char">
    <w:name w:val="Heading 1 Char"/>
    <w:basedOn w:val="DefaultParagraphFont"/>
    <w:link w:val="Heading1"/>
    <w:uiPriority w:val="9"/>
    <w:rsid w:val="003223D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770C4"/>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70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D6E"/>
    <w:rPr>
      <w:lang w:val="en-US"/>
    </w:rPr>
  </w:style>
  <w:style w:type="paragraph" w:styleId="Footer">
    <w:name w:val="footer"/>
    <w:basedOn w:val="Normal"/>
    <w:link w:val="FooterChar"/>
    <w:uiPriority w:val="99"/>
    <w:unhideWhenUsed/>
    <w:rsid w:val="0070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D6E"/>
    <w:rPr>
      <w:lang w:val="en-US"/>
    </w:rPr>
  </w:style>
  <w:style w:type="character" w:styleId="Emphasis">
    <w:name w:val="Emphasis"/>
    <w:basedOn w:val="DefaultParagraphFont"/>
    <w:uiPriority w:val="20"/>
    <w:qFormat/>
    <w:rsid w:val="00C94409"/>
    <w:rPr>
      <w:i/>
      <w:iCs/>
    </w:rPr>
  </w:style>
  <w:style w:type="character" w:styleId="Strong">
    <w:name w:val="Strong"/>
    <w:basedOn w:val="DefaultParagraphFont"/>
    <w:uiPriority w:val="22"/>
    <w:qFormat/>
    <w:rsid w:val="00C94409"/>
    <w:rPr>
      <w:b/>
      <w:bCs/>
    </w:rPr>
  </w:style>
  <w:style w:type="character" w:styleId="Hyperlink">
    <w:name w:val="Hyperlink"/>
    <w:basedOn w:val="DefaultParagraphFont"/>
    <w:uiPriority w:val="99"/>
    <w:unhideWhenUsed/>
    <w:rsid w:val="00C944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75656">
      <w:bodyDiv w:val="1"/>
      <w:marLeft w:val="0"/>
      <w:marRight w:val="0"/>
      <w:marTop w:val="0"/>
      <w:marBottom w:val="0"/>
      <w:divBdr>
        <w:top w:val="none" w:sz="0" w:space="0" w:color="auto"/>
        <w:left w:val="none" w:sz="0" w:space="0" w:color="auto"/>
        <w:bottom w:val="none" w:sz="0" w:space="0" w:color="auto"/>
        <w:right w:val="none" w:sz="0" w:space="0" w:color="auto"/>
      </w:divBdr>
      <w:divsChild>
        <w:div w:id="1784574783">
          <w:marLeft w:val="547"/>
          <w:marRight w:val="0"/>
          <w:marTop w:val="154"/>
          <w:marBottom w:val="0"/>
          <w:divBdr>
            <w:top w:val="none" w:sz="0" w:space="0" w:color="auto"/>
            <w:left w:val="none" w:sz="0" w:space="0" w:color="auto"/>
            <w:bottom w:val="none" w:sz="0" w:space="0" w:color="auto"/>
            <w:right w:val="none" w:sz="0" w:space="0" w:color="auto"/>
          </w:divBdr>
        </w:div>
        <w:div w:id="1177648397">
          <w:marLeft w:val="1166"/>
          <w:marRight w:val="0"/>
          <w:marTop w:val="134"/>
          <w:marBottom w:val="0"/>
          <w:divBdr>
            <w:top w:val="none" w:sz="0" w:space="0" w:color="auto"/>
            <w:left w:val="none" w:sz="0" w:space="0" w:color="auto"/>
            <w:bottom w:val="none" w:sz="0" w:space="0" w:color="auto"/>
            <w:right w:val="none" w:sz="0" w:space="0" w:color="auto"/>
          </w:divBdr>
        </w:div>
        <w:div w:id="400754870">
          <w:marLeft w:val="547"/>
          <w:marRight w:val="0"/>
          <w:marTop w:val="154"/>
          <w:marBottom w:val="0"/>
          <w:divBdr>
            <w:top w:val="none" w:sz="0" w:space="0" w:color="auto"/>
            <w:left w:val="none" w:sz="0" w:space="0" w:color="auto"/>
            <w:bottom w:val="none" w:sz="0" w:space="0" w:color="auto"/>
            <w:right w:val="none" w:sz="0" w:space="0" w:color="auto"/>
          </w:divBdr>
        </w:div>
        <w:div w:id="769594032">
          <w:marLeft w:val="1166"/>
          <w:marRight w:val="0"/>
          <w:marTop w:val="134"/>
          <w:marBottom w:val="0"/>
          <w:divBdr>
            <w:top w:val="none" w:sz="0" w:space="0" w:color="auto"/>
            <w:left w:val="none" w:sz="0" w:space="0" w:color="auto"/>
            <w:bottom w:val="none" w:sz="0" w:space="0" w:color="auto"/>
            <w:right w:val="none" w:sz="0" w:space="0" w:color="auto"/>
          </w:divBdr>
        </w:div>
        <w:div w:id="1165170224">
          <w:marLeft w:val="1166"/>
          <w:marRight w:val="0"/>
          <w:marTop w:val="134"/>
          <w:marBottom w:val="0"/>
          <w:divBdr>
            <w:top w:val="none" w:sz="0" w:space="0" w:color="auto"/>
            <w:left w:val="none" w:sz="0" w:space="0" w:color="auto"/>
            <w:bottom w:val="none" w:sz="0" w:space="0" w:color="auto"/>
            <w:right w:val="none" w:sz="0" w:space="0" w:color="auto"/>
          </w:divBdr>
        </w:div>
        <w:div w:id="1452556756">
          <w:marLeft w:val="1166"/>
          <w:marRight w:val="0"/>
          <w:marTop w:val="134"/>
          <w:marBottom w:val="0"/>
          <w:divBdr>
            <w:top w:val="none" w:sz="0" w:space="0" w:color="auto"/>
            <w:left w:val="none" w:sz="0" w:space="0" w:color="auto"/>
            <w:bottom w:val="none" w:sz="0" w:space="0" w:color="auto"/>
            <w:right w:val="none" w:sz="0" w:space="0" w:color="auto"/>
          </w:divBdr>
        </w:div>
      </w:divsChild>
    </w:div>
    <w:div w:id="152528421">
      <w:bodyDiv w:val="1"/>
      <w:marLeft w:val="0"/>
      <w:marRight w:val="0"/>
      <w:marTop w:val="0"/>
      <w:marBottom w:val="0"/>
      <w:divBdr>
        <w:top w:val="none" w:sz="0" w:space="0" w:color="auto"/>
        <w:left w:val="none" w:sz="0" w:space="0" w:color="auto"/>
        <w:bottom w:val="none" w:sz="0" w:space="0" w:color="auto"/>
        <w:right w:val="none" w:sz="0" w:space="0" w:color="auto"/>
      </w:divBdr>
    </w:div>
    <w:div w:id="203908418">
      <w:bodyDiv w:val="1"/>
      <w:marLeft w:val="0"/>
      <w:marRight w:val="0"/>
      <w:marTop w:val="0"/>
      <w:marBottom w:val="0"/>
      <w:divBdr>
        <w:top w:val="none" w:sz="0" w:space="0" w:color="auto"/>
        <w:left w:val="none" w:sz="0" w:space="0" w:color="auto"/>
        <w:bottom w:val="none" w:sz="0" w:space="0" w:color="auto"/>
        <w:right w:val="none" w:sz="0" w:space="0" w:color="auto"/>
      </w:divBdr>
      <w:divsChild>
        <w:div w:id="399642932">
          <w:marLeft w:val="547"/>
          <w:marRight w:val="0"/>
          <w:marTop w:val="134"/>
          <w:marBottom w:val="0"/>
          <w:divBdr>
            <w:top w:val="none" w:sz="0" w:space="0" w:color="auto"/>
            <w:left w:val="none" w:sz="0" w:space="0" w:color="auto"/>
            <w:bottom w:val="none" w:sz="0" w:space="0" w:color="auto"/>
            <w:right w:val="none" w:sz="0" w:space="0" w:color="auto"/>
          </w:divBdr>
        </w:div>
        <w:div w:id="520509988">
          <w:marLeft w:val="547"/>
          <w:marRight w:val="0"/>
          <w:marTop w:val="134"/>
          <w:marBottom w:val="0"/>
          <w:divBdr>
            <w:top w:val="none" w:sz="0" w:space="0" w:color="auto"/>
            <w:left w:val="none" w:sz="0" w:space="0" w:color="auto"/>
            <w:bottom w:val="none" w:sz="0" w:space="0" w:color="auto"/>
            <w:right w:val="none" w:sz="0" w:space="0" w:color="auto"/>
          </w:divBdr>
        </w:div>
        <w:div w:id="1792938610">
          <w:marLeft w:val="547"/>
          <w:marRight w:val="0"/>
          <w:marTop w:val="134"/>
          <w:marBottom w:val="0"/>
          <w:divBdr>
            <w:top w:val="none" w:sz="0" w:space="0" w:color="auto"/>
            <w:left w:val="none" w:sz="0" w:space="0" w:color="auto"/>
            <w:bottom w:val="none" w:sz="0" w:space="0" w:color="auto"/>
            <w:right w:val="none" w:sz="0" w:space="0" w:color="auto"/>
          </w:divBdr>
        </w:div>
        <w:div w:id="1382629521">
          <w:marLeft w:val="547"/>
          <w:marRight w:val="0"/>
          <w:marTop w:val="134"/>
          <w:marBottom w:val="0"/>
          <w:divBdr>
            <w:top w:val="none" w:sz="0" w:space="0" w:color="auto"/>
            <w:left w:val="none" w:sz="0" w:space="0" w:color="auto"/>
            <w:bottom w:val="none" w:sz="0" w:space="0" w:color="auto"/>
            <w:right w:val="none" w:sz="0" w:space="0" w:color="auto"/>
          </w:divBdr>
        </w:div>
        <w:div w:id="1198541337">
          <w:marLeft w:val="547"/>
          <w:marRight w:val="0"/>
          <w:marTop w:val="134"/>
          <w:marBottom w:val="0"/>
          <w:divBdr>
            <w:top w:val="none" w:sz="0" w:space="0" w:color="auto"/>
            <w:left w:val="none" w:sz="0" w:space="0" w:color="auto"/>
            <w:bottom w:val="none" w:sz="0" w:space="0" w:color="auto"/>
            <w:right w:val="none" w:sz="0" w:space="0" w:color="auto"/>
          </w:divBdr>
        </w:div>
        <w:div w:id="1110277876">
          <w:marLeft w:val="547"/>
          <w:marRight w:val="0"/>
          <w:marTop w:val="134"/>
          <w:marBottom w:val="0"/>
          <w:divBdr>
            <w:top w:val="none" w:sz="0" w:space="0" w:color="auto"/>
            <w:left w:val="none" w:sz="0" w:space="0" w:color="auto"/>
            <w:bottom w:val="none" w:sz="0" w:space="0" w:color="auto"/>
            <w:right w:val="none" w:sz="0" w:space="0" w:color="auto"/>
          </w:divBdr>
        </w:div>
      </w:divsChild>
    </w:div>
    <w:div w:id="267782922">
      <w:bodyDiv w:val="1"/>
      <w:marLeft w:val="0"/>
      <w:marRight w:val="0"/>
      <w:marTop w:val="0"/>
      <w:marBottom w:val="0"/>
      <w:divBdr>
        <w:top w:val="none" w:sz="0" w:space="0" w:color="auto"/>
        <w:left w:val="none" w:sz="0" w:space="0" w:color="auto"/>
        <w:bottom w:val="none" w:sz="0" w:space="0" w:color="auto"/>
        <w:right w:val="none" w:sz="0" w:space="0" w:color="auto"/>
      </w:divBdr>
    </w:div>
    <w:div w:id="300116167">
      <w:bodyDiv w:val="1"/>
      <w:marLeft w:val="0"/>
      <w:marRight w:val="0"/>
      <w:marTop w:val="0"/>
      <w:marBottom w:val="0"/>
      <w:divBdr>
        <w:top w:val="none" w:sz="0" w:space="0" w:color="auto"/>
        <w:left w:val="none" w:sz="0" w:space="0" w:color="auto"/>
        <w:bottom w:val="none" w:sz="0" w:space="0" w:color="auto"/>
        <w:right w:val="none" w:sz="0" w:space="0" w:color="auto"/>
      </w:divBdr>
      <w:divsChild>
        <w:div w:id="1263222905">
          <w:marLeft w:val="547"/>
          <w:marRight w:val="0"/>
          <w:marTop w:val="125"/>
          <w:marBottom w:val="0"/>
          <w:divBdr>
            <w:top w:val="none" w:sz="0" w:space="0" w:color="auto"/>
            <w:left w:val="none" w:sz="0" w:space="0" w:color="auto"/>
            <w:bottom w:val="none" w:sz="0" w:space="0" w:color="auto"/>
            <w:right w:val="none" w:sz="0" w:space="0" w:color="auto"/>
          </w:divBdr>
        </w:div>
        <w:div w:id="1229263160">
          <w:marLeft w:val="547"/>
          <w:marRight w:val="0"/>
          <w:marTop w:val="125"/>
          <w:marBottom w:val="0"/>
          <w:divBdr>
            <w:top w:val="none" w:sz="0" w:space="0" w:color="auto"/>
            <w:left w:val="none" w:sz="0" w:space="0" w:color="auto"/>
            <w:bottom w:val="none" w:sz="0" w:space="0" w:color="auto"/>
            <w:right w:val="none" w:sz="0" w:space="0" w:color="auto"/>
          </w:divBdr>
        </w:div>
        <w:div w:id="222452293">
          <w:marLeft w:val="547"/>
          <w:marRight w:val="0"/>
          <w:marTop w:val="125"/>
          <w:marBottom w:val="0"/>
          <w:divBdr>
            <w:top w:val="none" w:sz="0" w:space="0" w:color="auto"/>
            <w:left w:val="none" w:sz="0" w:space="0" w:color="auto"/>
            <w:bottom w:val="none" w:sz="0" w:space="0" w:color="auto"/>
            <w:right w:val="none" w:sz="0" w:space="0" w:color="auto"/>
          </w:divBdr>
        </w:div>
        <w:div w:id="2126383687">
          <w:marLeft w:val="547"/>
          <w:marRight w:val="0"/>
          <w:marTop w:val="125"/>
          <w:marBottom w:val="0"/>
          <w:divBdr>
            <w:top w:val="none" w:sz="0" w:space="0" w:color="auto"/>
            <w:left w:val="none" w:sz="0" w:space="0" w:color="auto"/>
            <w:bottom w:val="none" w:sz="0" w:space="0" w:color="auto"/>
            <w:right w:val="none" w:sz="0" w:space="0" w:color="auto"/>
          </w:divBdr>
        </w:div>
        <w:div w:id="687953029">
          <w:marLeft w:val="547"/>
          <w:marRight w:val="0"/>
          <w:marTop w:val="125"/>
          <w:marBottom w:val="0"/>
          <w:divBdr>
            <w:top w:val="none" w:sz="0" w:space="0" w:color="auto"/>
            <w:left w:val="none" w:sz="0" w:space="0" w:color="auto"/>
            <w:bottom w:val="none" w:sz="0" w:space="0" w:color="auto"/>
            <w:right w:val="none" w:sz="0" w:space="0" w:color="auto"/>
          </w:divBdr>
        </w:div>
      </w:divsChild>
    </w:div>
    <w:div w:id="347758462">
      <w:bodyDiv w:val="1"/>
      <w:marLeft w:val="0"/>
      <w:marRight w:val="0"/>
      <w:marTop w:val="0"/>
      <w:marBottom w:val="0"/>
      <w:divBdr>
        <w:top w:val="none" w:sz="0" w:space="0" w:color="auto"/>
        <w:left w:val="none" w:sz="0" w:space="0" w:color="auto"/>
        <w:bottom w:val="none" w:sz="0" w:space="0" w:color="auto"/>
        <w:right w:val="none" w:sz="0" w:space="0" w:color="auto"/>
      </w:divBdr>
      <w:divsChild>
        <w:div w:id="1719233995">
          <w:marLeft w:val="547"/>
          <w:marRight w:val="0"/>
          <w:marTop w:val="125"/>
          <w:marBottom w:val="0"/>
          <w:divBdr>
            <w:top w:val="none" w:sz="0" w:space="0" w:color="auto"/>
            <w:left w:val="none" w:sz="0" w:space="0" w:color="auto"/>
            <w:bottom w:val="none" w:sz="0" w:space="0" w:color="auto"/>
            <w:right w:val="none" w:sz="0" w:space="0" w:color="auto"/>
          </w:divBdr>
        </w:div>
        <w:div w:id="531575689">
          <w:marLeft w:val="547"/>
          <w:marRight w:val="0"/>
          <w:marTop w:val="125"/>
          <w:marBottom w:val="0"/>
          <w:divBdr>
            <w:top w:val="none" w:sz="0" w:space="0" w:color="auto"/>
            <w:left w:val="none" w:sz="0" w:space="0" w:color="auto"/>
            <w:bottom w:val="none" w:sz="0" w:space="0" w:color="auto"/>
            <w:right w:val="none" w:sz="0" w:space="0" w:color="auto"/>
          </w:divBdr>
        </w:div>
        <w:div w:id="2143574168">
          <w:marLeft w:val="547"/>
          <w:marRight w:val="0"/>
          <w:marTop w:val="125"/>
          <w:marBottom w:val="0"/>
          <w:divBdr>
            <w:top w:val="none" w:sz="0" w:space="0" w:color="auto"/>
            <w:left w:val="none" w:sz="0" w:space="0" w:color="auto"/>
            <w:bottom w:val="none" w:sz="0" w:space="0" w:color="auto"/>
            <w:right w:val="none" w:sz="0" w:space="0" w:color="auto"/>
          </w:divBdr>
        </w:div>
        <w:div w:id="363023102">
          <w:marLeft w:val="547"/>
          <w:marRight w:val="0"/>
          <w:marTop w:val="125"/>
          <w:marBottom w:val="0"/>
          <w:divBdr>
            <w:top w:val="none" w:sz="0" w:space="0" w:color="auto"/>
            <w:left w:val="none" w:sz="0" w:space="0" w:color="auto"/>
            <w:bottom w:val="none" w:sz="0" w:space="0" w:color="auto"/>
            <w:right w:val="none" w:sz="0" w:space="0" w:color="auto"/>
          </w:divBdr>
        </w:div>
        <w:div w:id="647713305">
          <w:marLeft w:val="547"/>
          <w:marRight w:val="0"/>
          <w:marTop w:val="125"/>
          <w:marBottom w:val="0"/>
          <w:divBdr>
            <w:top w:val="none" w:sz="0" w:space="0" w:color="auto"/>
            <w:left w:val="none" w:sz="0" w:space="0" w:color="auto"/>
            <w:bottom w:val="none" w:sz="0" w:space="0" w:color="auto"/>
            <w:right w:val="none" w:sz="0" w:space="0" w:color="auto"/>
          </w:divBdr>
        </w:div>
        <w:div w:id="46149195">
          <w:marLeft w:val="547"/>
          <w:marRight w:val="0"/>
          <w:marTop w:val="125"/>
          <w:marBottom w:val="0"/>
          <w:divBdr>
            <w:top w:val="none" w:sz="0" w:space="0" w:color="auto"/>
            <w:left w:val="none" w:sz="0" w:space="0" w:color="auto"/>
            <w:bottom w:val="none" w:sz="0" w:space="0" w:color="auto"/>
            <w:right w:val="none" w:sz="0" w:space="0" w:color="auto"/>
          </w:divBdr>
        </w:div>
      </w:divsChild>
    </w:div>
    <w:div w:id="378479182">
      <w:bodyDiv w:val="1"/>
      <w:marLeft w:val="0"/>
      <w:marRight w:val="0"/>
      <w:marTop w:val="0"/>
      <w:marBottom w:val="0"/>
      <w:divBdr>
        <w:top w:val="none" w:sz="0" w:space="0" w:color="auto"/>
        <w:left w:val="none" w:sz="0" w:space="0" w:color="auto"/>
        <w:bottom w:val="none" w:sz="0" w:space="0" w:color="auto"/>
        <w:right w:val="none" w:sz="0" w:space="0" w:color="auto"/>
      </w:divBdr>
    </w:div>
    <w:div w:id="402144245">
      <w:bodyDiv w:val="1"/>
      <w:marLeft w:val="0"/>
      <w:marRight w:val="0"/>
      <w:marTop w:val="0"/>
      <w:marBottom w:val="0"/>
      <w:divBdr>
        <w:top w:val="none" w:sz="0" w:space="0" w:color="auto"/>
        <w:left w:val="none" w:sz="0" w:space="0" w:color="auto"/>
        <w:bottom w:val="none" w:sz="0" w:space="0" w:color="auto"/>
        <w:right w:val="none" w:sz="0" w:space="0" w:color="auto"/>
      </w:divBdr>
    </w:div>
    <w:div w:id="495609571">
      <w:bodyDiv w:val="1"/>
      <w:marLeft w:val="0"/>
      <w:marRight w:val="0"/>
      <w:marTop w:val="0"/>
      <w:marBottom w:val="0"/>
      <w:divBdr>
        <w:top w:val="none" w:sz="0" w:space="0" w:color="auto"/>
        <w:left w:val="none" w:sz="0" w:space="0" w:color="auto"/>
        <w:bottom w:val="none" w:sz="0" w:space="0" w:color="auto"/>
        <w:right w:val="none" w:sz="0" w:space="0" w:color="auto"/>
      </w:divBdr>
    </w:div>
    <w:div w:id="810363618">
      <w:bodyDiv w:val="1"/>
      <w:marLeft w:val="0"/>
      <w:marRight w:val="0"/>
      <w:marTop w:val="0"/>
      <w:marBottom w:val="0"/>
      <w:divBdr>
        <w:top w:val="none" w:sz="0" w:space="0" w:color="auto"/>
        <w:left w:val="none" w:sz="0" w:space="0" w:color="auto"/>
        <w:bottom w:val="none" w:sz="0" w:space="0" w:color="auto"/>
        <w:right w:val="none" w:sz="0" w:space="0" w:color="auto"/>
      </w:divBdr>
    </w:div>
    <w:div w:id="929891585">
      <w:bodyDiv w:val="1"/>
      <w:marLeft w:val="0"/>
      <w:marRight w:val="0"/>
      <w:marTop w:val="0"/>
      <w:marBottom w:val="0"/>
      <w:divBdr>
        <w:top w:val="none" w:sz="0" w:space="0" w:color="auto"/>
        <w:left w:val="none" w:sz="0" w:space="0" w:color="auto"/>
        <w:bottom w:val="none" w:sz="0" w:space="0" w:color="auto"/>
        <w:right w:val="none" w:sz="0" w:space="0" w:color="auto"/>
      </w:divBdr>
      <w:divsChild>
        <w:div w:id="1717192646">
          <w:marLeft w:val="547"/>
          <w:marRight w:val="0"/>
          <w:marTop w:val="134"/>
          <w:marBottom w:val="0"/>
          <w:divBdr>
            <w:top w:val="none" w:sz="0" w:space="0" w:color="auto"/>
            <w:left w:val="none" w:sz="0" w:space="0" w:color="auto"/>
            <w:bottom w:val="none" w:sz="0" w:space="0" w:color="auto"/>
            <w:right w:val="none" w:sz="0" w:space="0" w:color="auto"/>
          </w:divBdr>
        </w:div>
        <w:div w:id="1301152542">
          <w:marLeft w:val="547"/>
          <w:marRight w:val="0"/>
          <w:marTop w:val="134"/>
          <w:marBottom w:val="0"/>
          <w:divBdr>
            <w:top w:val="none" w:sz="0" w:space="0" w:color="auto"/>
            <w:left w:val="none" w:sz="0" w:space="0" w:color="auto"/>
            <w:bottom w:val="none" w:sz="0" w:space="0" w:color="auto"/>
            <w:right w:val="none" w:sz="0" w:space="0" w:color="auto"/>
          </w:divBdr>
        </w:div>
        <w:div w:id="356397329">
          <w:marLeft w:val="547"/>
          <w:marRight w:val="0"/>
          <w:marTop w:val="134"/>
          <w:marBottom w:val="0"/>
          <w:divBdr>
            <w:top w:val="none" w:sz="0" w:space="0" w:color="auto"/>
            <w:left w:val="none" w:sz="0" w:space="0" w:color="auto"/>
            <w:bottom w:val="none" w:sz="0" w:space="0" w:color="auto"/>
            <w:right w:val="none" w:sz="0" w:space="0" w:color="auto"/>
          </w:divBdr>
        </w:div>
        <w:div w:id="965551096">
          <w:marLeft w:val="547"/>
          <w:marRight w:val="0"/>
          <w:marTop w:val="134"/>
          <w:marBottom w:val="0"/>
          <w:divBdr>
            <w:top w:val="none" w:sz="0" w:space="0" w:color="auto"/>
            <w:left w:val="none" w:sz="0" w:space="0" w:color="auto"/>
            <w:bottom w:val="none" w:sz="0" w:space="0" w:color="auto"/>
            <w:right w:val="none" w:sz="0" w:space="0" w:color="auto"/>
          </w:divBdr>
        </w:div>
        <w:div w:id="864755718">
          <w:marLeft w:val="547"/>
          <w:marRight w:val="0"/>
          <w:marTop w:val="134"/>
          <w:marBottom w:val="0"/>
          <w:divBdr>
            <w:top w:val="none" w:sz="0" w:space="0" w:color="auto"/>
            <w:left w:val="none" w:sz="0" w:space="0" w:color="auto"/>
            <w:bottom w:val="none" w:sz="0" w:space="0" w:color="auto"/>
            <w:right w:val="none" w:sz="0" w:space="0" w:color="auto"/>
          </w:divBdr>
        </w:div>
        <w:div w:id="1351641881">
          <w:marLeft w:val="547"/>
          <w:marRight w:val="0"/>
          <w:marTop w:val="134"/>
          <w:marBottom w:val="0"/>
          <w:divBdr>
            <w:top w:val="none" w:sz="0" w:space="0" w:color="auto"/>
            <w:left w:val="none" w:sz="0" w:space="0" w:color="auto"/>
            <w:bottom w:val="none" w:sz="0" w:space="0" w:color="auto"/>
            <w:right w:val="none" w:sz="0" w:space="0" w:color="auto"/>
          </w:divBdr>
        </w:div>
      </w:divsChild>
    </w:div>
    <w:div w:id="931165378">
      <w:bodyDiv w:val="1"/>
      <w:marLeft w:val="0"/>
      <w:marRight w:val="0"/>
      <w:marTop w:val="0"/>
      <w:marBottom w:val="0"/>
      <w:divBdr>
        <w:top w:val="none" w:sz="0" w:space="0" w:color="auto"/>
        <w:left w:val="none" w:sz="0" w:space="0" w:color="auto"/>
        <w:bottom w:val="none" w:sz="0" w:space="0" w:color="auto"/>
        <w:right w:val="none" w:sz="0" w:space="0" w:color="auto"/>
      </w:divBdr>
    </w:div>
    <w:div w:id="976492065">
      <w:bodyDiv w:val="1"/>
      <w:marLeft w:val="0"/>
      <w:marRight w:val="0"/>
      <w:marTop w:val="0"/>
      <w:marBottom w:val="0"/>
      <w:divBdr>
        <w:top w:val="none" w:sz="0" w:space="0" w:color="auto"/>
        <w:left w:val="none" w:sz="0" w:space="0" w:color="auto"/>
        <w:bottom w:val="none" w:sz="0" w:space="0" w:color="auto"/>
        <w:right w:val="none" w:sz="0" w:space="0" w:color="auto"/>
      </w:divBdr>
      <w:divsChild>
        <w:div w:id="1828860492">
          <w:marLeft w:val="547"/>
          <w:marRight w:val="0"/>
          <w:marTop w:val="86"/>
          <w:marBottom w:val="0"/>
          <w:divBdr>
            <w:top w:val="none" w:sz="0" w:space="0" w:color="auto"/>
            <w:left w:val="none" w:sz="0" w:space="0" w:color="auto"/>
            <w:bottom w:val="none" w:sz="0" w:space="0" w:color="auto"/>
            <w:right w:val="none" w:sz="0" w:space="0" w:color="auto"/>
          </w:divBdr>
        </w:div>
        <w:div w:id="1475441057">
          <w:marLeft w:val="547"/>
          <w:marRight w:val="0"/>
          <w:marTop w:val="86"/>
          <w:marBottom w:val="0"/>
          <w:divBdr>
            <w:top w:val="none" w:sz="0" w:space="0" w:color="auto"/>
            <w:left w:val="none" w:sz="0" w:space="0" w:color="auto"/>
            <w:bottom w:val="none" w:sz="0" w:space="0" w:color="auto"/>
            <w:right w:val="none" w:sz="0" w:space="0" w:color="auto"/>
          </w:divBdr>
        </w:div>
        <w:div w:id="1194920465">
          <w:marLeft w:val="547"/>
          <w:marRight w:val="0"/>
          <w:marTop w:val="86"/>
          <w:marBottom w:val="0"/>
          <w:divBdr>
            <w:top w:val="none" w:sz="0" w:space="0" w:color="auto"/>
            <w:left w:val="none" w:sz="0" w:space="0" w:color="auto"/>
            <w:bottom w:val="none" w:sz="0" w:space="0" w:color="auto"/>
            <w:right w:val="none" w:sz="0" w:space="0" w:color="auto"/>
          </w:divBdr>
        </w:div>
        <w:div w:id="569271718">
          <w:marLeft w:val="547"/>
          <w:marRight w:val="0"/>
          <w:marTop w:val="86"/>
          <w:marBottom w:val="0"/>
          <w:divBdr>
            <w:top w:val="none" w:sz="0" w:space="0" w:color="auto"/>
            <w:left w:val="none" w:sz="0" w:space="0" w:color="auto"/>
            <w:bottom w:val="none" w:sz="0" w:space="0" w:color="auto"/>
            <w:right w:val="none" w:sz="0" w:space="0" w:color="auto"/>
          </w:divBdr>
        </w:div>
      </w:divsChild>
    </w:div>
    <w:div w:id="1055935768">
      <w:bodyDiv w:val="1"/>
      <w:marLeft w:val="0"/>
      <w:marRight w:val="0"/>
      <w:marTop w:val="0"/>
      <w:marBottom w:val="0"/>
      <w:divBdr>
        <w:top w:val="none" w:sz="0" w:space="0" w:color="auto"/>
        <w:left w:val="none" w:sz="0" w:space="0" w:color="auto"/>
        <w:bottom w:val="none" w:sz="0" w:space="0" w:color="auto"/>
        <w:right w:val="none" w:sz="0" w:space="0" w:color="auto"/>
      </w:divBdr>
      <w:divsChild>
        <w:div w:id="1216553130">
          <w:marLeft w:val="547"/>
          <w:marRight w:val="0"/>
          <w:marTop w:val="130"/>
          <w:marBottom w:val="0"/>
          <w:divBdr>
            <w:top w:val="none" w:sz="0" w:space="0" w:color="auto"/>
            <w:left w:val="none" w:sz="0" w:space="0" w:color="auto"/>
            <w:bottom w:val="none" w:sz="0" w:space="0" w:color="auto"/>
            <w:right w:val="none" w:sz="0" w:space="0" w:color="auto"/>
          </w:divBdr>
        </w:div>
        <w:div w:id="123666656">
          <w:marLeft w:val="1166"/>
          <w:marRight w:val="0"/>
          <w:marTop w:val="115"/>
          <w:marBottom w:val="0"/>
          <w:divBdr>
            <w:top w:val="none" w:sz="0" w:space="0" w:color="auto"/>
            <w:left w:val="none" w:sz="0" w:space="0" w:color="auto"/>
            <w:bottom w:val="none" w:sz="0" w:space="0" w:color="auto"/>
            <w:right w:val="none" w:sz="0" w:space="0" w:color="auto"/>
          </w:divBdr>
        </w:div>
        <w:div w:id="304166330">
          <w:marLeft w:val="547"/>
          <w:marRight w:val="0"/>
          <w:marTop w:val="130"/>
          <w:marBottom w:val="0"/>
          <w:divBdr>
            <w:top w:val="none" w:sz="0" w:space="0" w:color="auto"/>
            <w:left w:val="none" w:sz="0" w:space="0" w:color="auto"/>
            <w:bottom w:val="none" w:sz="0" w:space="0" w:color="auto"/>
            <w:right w:val="none" w:sz="0" w:space="0" w:color="auto"/>
          </w:divBdr>
        </w:div>
        <w:div w:id="125857696">
          <w:marLeft w:val="547"/>
          <w:marRight w:val="0"/>
          <w:marTop w:val="130"/>
          <w:marBottom w:val="0"/>
          <w:divBdr>
            <w:top w:val="none" w:sz="0" w:space="0" w:color="auto"/>
            <w:left w:val="none" w:sz="0" w:space="0" w:color="auto"/>
            <w:bottom w:val="none" w:sz="0" w:space="0" w:color="auto"/>
            <w:right w:val="none" w:sz="0" w:space="0" w:color="auto"/>
          </w:divBdr>
        </w:div>
        <w:div w:id="155731917">
          <w:marLeft w:val="1166"/>
          <w:marRight w:val="0"/>
          <w:marTop w:val="115"/>
          <w:marBottom w:val="0"/>
          <w:divBdr>
            <w:top w:val="none" w:sz="0" w:space="0" w:color="auto"/>
            <w:left w:val="none" w:sz="0" w:space="0" w:color="auto"/>
            <w:bottom w:val="none" w:sz="0" w:space="0" w:color="auto"/>
            <w:right w:val="none" w:sz="0" w:space="0" w:color="auto"/>
          </w:divBdr>
        </w:div>
        <w:div w:id="1287083102">
          <w:marLeft w:val="1166"/>
          <w:marRight w:val="0"/>
          <w:marTop w:val="115"/>
          <w:marBottom w:val="0"/>
          <w:divBdr>
            <w:top w:val="none" w:sz="0" w:space="0" w:color="auto"/>
            <w:left w:val="none" w:sz="0" w:space="0" w:color="auto"/>
            <w:bottom w:val="none" w:sz="0" w:space="0" w:color="auto"/>
            <w:right w:val="none" w:sz="0" w:space="0" w:color="auto"/>
          </w:divBdr>
        </w:div>
        <w:div w:id="1899053936">
          <w:marLeft w:val="547"/>
          <w:marRight w:val="0"/>
          <w:marTop w:val="130"/>
          <w:marBottom w:val="0"/>
          <w:divBdr>
            <w:top w:val="none" w:sz="0" w:space="0" w:color="auto"/>
            <w:left w:val="none" w:sz="0" w:space="0" w:color="auto"/>
            <w:bottom w:val="none" w:sz="0" w:space="0" w:color="auto"/>
            <w:right w:val="none" w:sz="0" w:space="0" w:color="auto"/>
          </w:divBdr>
        </w:div>
      </w:divsChild>
    </w:div>
    <w:div w:id="1225220095">
      <w:bodyDiv w:val="1"/>
      <w:marLeft w:val="0"/>
      <w:marRight w:val="0"/>
      <w:marTop w:val="0"/>
      <w:marBottom w:val="0"/>
      <w:divBdr>
        <w:top w:val="none" w:sz="0" w:space="0" w:color="auto"/>
        <w:left w:val="none" w:sz="0" w:space="0" w:color="auto"/>
        <w:bottom w:val="none" w:sz="0" w:space="0" w:color="auto"/>
        <w:right w:val="none" w:sz="0" w:space="0" w:color="auto"/>
      </w:divBdr>
    </w:div>
    <w:div w:id="1263761628">
      <w:bodyDiv w:val="1"/>
      <w:marLeft w:val="0"/>
      <w:marRight w:val="0"/>
      <w:marTop w:val="0"/>
      <w:marBottom w:val="0"/>
      <w:divBdr>
        <w:top w:val="none" w:sz="0" w:space="0" w:color="auto"/>
        <w:left w:val="none" w:sz="0" w:space="0" w:color="auto"/>
        <w:bottom w:val="none" w:sz="0" w:space="0" w:color="auto"/>
        <w:right w:val="none" w:sz="0" w:space="0" w:color="auto"/>
      </w:divBdr>
      <w:divsChild>
        <w:div w:id="2015566366">
          <w:marLeft w:val="547"/>
          <w:marRight w:val="0"/>
          <w:marTop w:val="125"/>
          <w:marBottom w:val="0"/>
          <w:divBdr>
            <w:top w:val="none" w:sz="0" w:space="0" w:color="auto"/>
            <w:left w:val="none" w:sz="0" w:space="0" w:color="auto"/>
            <w:bottom w:val="none" w:sz="0" w:space="0" w:color="auto"/>
            <w:right w:val="none" w:sz="0" w:space="0" w:color="auto"/>
          </w:divBdr>
        </w:div>
        <w:div w:id="2110198809">
          <w:marLeft w:val="547"/>
          <w:marRight w:val="0"/>
          <w:marTop w:val="125"/>
          <w:marBottom w:val="0"/>
          <w:divBdr>
            <w:top w:val="none" w:sz="0" w:space="0" w:color="auto"/>
            <w:left w:val="none" w:sz="0" w:space="0" w:color="auto"/>
            <w:bottom w:val="none" w:sz="0" w:space="0" w:color="auto"/>
            <w:right w:val="none" w:sz="0" w:space="0" w:color="auto"/>
          </w:divBdr>
        </w:div>
        <w:div w:id="1715889346">
          <w:marLeft w:val="547"/>
          <w:marRight w:val="0"/>
          <w:marTop w:val="125"/>
          <w:marBottom w:val="0"/>
          <w:divBdr>
            <w:top w:val="none" w:sz="0" w:space="0" w:color="auto"/>
            <w:left w:val="none" w:sz="0" w:space="0" w:color="auto"/>
            <w:bottom w:val="none" w:sz="0" w:space="0" w:color="auto"/>
            <w:right w:val="none" w:sz="0" w:space="0" w:color="auto"/>
          </w:divBdr>
        </w:div>
        <w:div w:id="702294054">
          <w:marLeft w:val="547"/>
          <w:marRight w:val="0"/>
          <w:marTop w:val="125"/>
          <w:marBottom w:val="0"/>
          <w:divBdr>
            <w:top w:val="none" w:sz="0" w:space="0" w:color="auto"/>
            <w:left w:val="none" w:sz="0" w:space="0" w:color="auto"/>
            <w:bottom w:val="none" w:sz="0" w:space="0" w:color="auto"/>
            <w:right w:val="none" w:sz="0" w:space="0" w:color="auto"/>
          </w:divBdr>
        </w:div>
      </w:divsChild>
    </w:div>
    <w:div w:id="1273246632">
      <w:bodyDiv w:val="1"/>
      <w:marLeft w:val="0"/>
      <w:marRight w:val="0"/>
      <w:marTop w:val="0"/>
      <w:marBottom w:val="0"/>
      <w:divBdr>
        <w:top w:val="none" w:sz="0" w:space="0" w:color="auto"/>
        <w:left w:val="none" w:sz="0" w:space="0" w:color="auto"/>
        <w:bottom w:val="none" w:sz="0" w:space="0" w:color="auto"/>
        <w:right w:val="none" w:sz="0" w:space="0" w:color="auto"/>
      </w:divBdr>
      <w:divsChild>
        <w:div w:id="2014797601">
          <w:marLeft w:val="547"/>
          <w:marRight w:val="0"/>
          <w:marTop w:val="125"/>
          <w:marBottom w:val="0"/>
          <w:divBdr>
            <w:top w:val="none" w:sz="0" w:space="0" w:color="auto"/>
            <w:left w:val="none" w:sz="0" w:space="0" w:color="auto"/>
            <w:bottom w:val="none" w:sz="0" w:space="0" w:color="auto"/>
            <w:right w:val="none" w:sz="0" w:space="0" w:color="auto"/>
          </w:divBdr>
        </w:div>
        <w:div w:id="1504474859">
          <w:marLeft w:val="1166"/>
          <w:marRight w:val="0"/>
          <w:marTop w:val="106"/>
          <w:marBottom w:val="0"/>
          <w:divBdr>
            <w:top w:val="none" w:sz="0" w:space="0" w:color="auto"/>
            <w:left w:val="none" w:sz="0" w:space="0" w:color="auto"/>
            <w:bottom w:val="none" w:sz="0" w:space="0" w:color="auto"/>
            <w:right w:val="none" w:sz="0" w:space="0" w:color="auto"/>
          </w:divBdr>
        </w:div>
        <w:div w:id="419986503">
          <w:marLeft w:val="547"/>
          <w:marRight w:val="0"/>
          <w:marTop w:val="125"/>
          <w:marBottom w:val="0"/>
          <w:divBdr>
            <w:top w:val="none" w:sz="0" w:space="0" w:color="auto"/>
            <w:left w:val="none" w:sz="0" w:space="0" w:color="auto"/>
            <w:bottom w:val="none" w:sz="0" w:space="0" w:color="auto"/>
            <w:right w:val="none" w:sz="0" w:space="0" w:color="auto"/>
          </w:divBdr>
        </w:div>
        <w:div w:id="1663896836">
          <w:marLeft w:val="1166"/>
          <w:marRight w:val="0"/>
          <w:marTop w:val="106"/>
          <w:marBottom w:val="0"/>
          <w:divBdr>
            <w:top w:val="none" w:sz="0" w:space="0" w:color="auto"/>
            <w:left w:val="none" w:sz="0" w:space="0" w:color="auto"/>
            <w:bottom w:val="none" w:sz="0" w:space="0" w:color="auto"/>
            <w:right w:val="none" w:sz="0" w:space="0" w:color="auto"/>
          </w:divBdr>
        </w:div>
        <w:div w:id="1125273853">
          <w:marLeft w:val="547"/>
          <w:marRight w:val="0"/>
          <w:marTop w:val="115"/>
          <w:marBottom w:val="0"/>
          <w:divBdr>
            <w:top w:val="none" w:sz="0" w:space="0" w:color="auto"/>
            <w:left w:val="none" w:sz="0" w:space="0" w:color="auto"/>
            <w:bottom w:val="none" w:sz="0" w:space="0" w:color="auto"/>
            <w:right w:val="none" w:sz="0" w:space="0" w:color="auto"/>
          </w:divBdr>
        </w:div>
        <w:div w:id="1174029782">
          <w:marLeft w:val="547"/>
          <w:marRight w:val="0"/>
          <w:marTop w:val="125"/>
          <w:marBottom w:val="0"/>
          <w:divBdr>
            <w:top w:val="none" w:sz="0" w:space="0" w:color="auto"/>
            <w:left w:val="none" w:sz="0" w:space="0" w:color="auto"/>
            <w:bottom w:val="none" w:sz="0" w:space="0" w:color="auto"/>
            <w:right w:val="none" w:sz="0" w:space="0" w:color="auto"/>
          </w:divBdr>
        </w:div>
      </w:divsChild>
    </w:div>
    <w:div w:id="1359743178">
      <w:bodyDiv w:val="1"/>
      <w:marLeft w:val="0"/>
      <w:marRight w:val="0"/>
      <w:marTop w:val="0"/>
      <w:marBottom w:val="0"/>
      <w:divBdr>
        <w:top w:val="none" w:sz="0" w:space="0" w:color="auto"/>
        <w:left w:val="none" w:sz="0" w:space="0" w:color="auto"/>
        <w:bottom w:val="none" w:sz="0" w:space="0" w:color="auto"/>
        <w:right w:val="none" w:sz="0" w:space="0" w:color="auto"/>
      </w:divBdr>
    </w:div>
    <w:div w:id="1500803919">
      <w:bodyDiv w:val="1"/>
      <w:marLeft w:val="0"/>
      <w:marRight w:val="0"/>
      <w:marTop w:val="0"/>
      <w:marBottom w:val="0"/>
      <w:divBdr>
        <w:top w:val="none" w:sz="0" w:space="0" w:color="auto"/>
        <w:left w:val="none" w:sz="0" w:space="0" w:color="auto"/>
        <w:bottom w:val="none" w:sz="0" w:space="0" w:color="auto"/>
        <w:right w:val="none" w:sz="0" w:space="0" w:color="auto"/>
      </w:divBdr>
      <w:divsChild>
        <w:div w:id="1557665881">
          <w:marLeft w:val="547"/>
          <w:marRight w:val="0"/>
          <w:marTop w:val="125"/>
          <w:marBottom w:val="0"/>
          <w:divBdr>
            <w:top w:val="none" w:sz="0" w:space="0" w:color="auto"/>
            <w:left w:val="none" w:sz="0" w:space="0" w:color="auto"/>
            <w:bottom w:val="none" w:sz="0" w:space="0" w:color="auto"/>
            <w:right w:val="none" w:sz="0" w:space="0" w:color="auto"/>
          </w:divBdr>
        </w:div>
        <w:div w:id="1035424989">
          <w:marLeft w:val="1166"/>
          <w:marRight w:val="0"/>
          <w:marTop w:val="106"/>
          <w:marBottom w:val="0"/>
          <w:divBdr>
            <w:top w:val="none" w:sz="0" w:space="0" w:color="auto"/>
            <w:left w:val="none" w:sz="0" w:space="0" w:color="auto"/>
            <w:bottom w:val="none" w:sz="0" w:space="0" w:color="auto"/>
            <w:right w:val="none" w:sz="0" w:space="0" w:color="auto"/>
          </w:divBdr>
        </w:div>
        <w:div w:id="1855461045">
          <w:marLeft w:val="547"/>
          <w:marRight w:val="0"/>
          <w:marTop w:val="125"/>
          <w:marBottom w:val="0"/>
          <w:divBdr>
            <w:top w:val="none" w:sz="0" w:space="0" w:color="auto"/>
            <w:left w:val="none" w:sz="0" w:space="0" w:color="auto"/>
            <w:bottom w:val="none" w:sz="0" w:space="0" w:color="auto"/>
            <w:right w:val="none" w:sz="0" w:space="0" w:color="auto"/>
          </w:divBdr>
        </w:div>
        <w:div w:id="282461821">
          <w:marLeft w:val="547"/>
          <w:marRight w:val="0"/>
          <w:marTop w:val="125"/>
          <w:marBottom w:val="0"/>
          <w:divBdr>
            <w:top w:val="none" w:sz="0" w:space="0" w:color="auto"/>
            <w:left w:val="none" w:sz="0" w:space="0" w:color="auto"/>
            <w:bottom w:val="none" w:sz="0" w:space="0" w:color="auto"/>
            <w:right w:val="none" w:sz="0" w:space="0" w:color="auto"/>
          </w:divBdr>
        </w:div>
        <w:div w:id="293098641">
          <w:marLeft w:val="547"/>
          <w:marRight w:val="0"/>
          <w:marTop w:val="125"/>
          <w:marBottom w:val="0"/>
          <w:divBdr>
            <w:top w:val="none" w:sz="0" w:space="0" w:color="auto"/>
            <w:left w:val="none" w:sz="0" w:space="0" w:color="auto"/>
            <w:bottom w:val="none" w:sz="0" w:space="0" w:color="auto"/>
            <w:right w:val="none" w:sz="0" w:space="0" w:color="auto"/>
          </w:divBdr>
        </w:div>
      </w:divsChild>
    </w:div>
    <w:div w:id="1679235760">
      <w:bodyDiv w:val="1"/>
      <w:marLeft w:val="0"/>
      <w:marRight w:val="0"/>
      <w:marTop w:val="0"/>
      <w:marBottom w:val="0"/>
      <w:divBdr>
        <w:top w:val="none" w:sz="0" w:space="0" w:color="auto"/>
        <w:left w:val="none" w:sz="0" w:space="0" w:color="auto"/>
        <w:bottom w:val="none" w:sz="0" w:space="0" w:color="auto"/>
        <w:right w:val="none" w:sz="0" w:space="0" w:color="auto"/>
      </w:divBdr>
      <w:divsChild>
        <w:div w:id="538204568">
          <w:marLeft w:val="547"/>
          <w:marRight w:val="0"/>
          <w:marTop w:val="115"/>
          <w:marBottom w:val="0"/>
          <w:divBdr>
            <w:top w:val="none" w:sz="0" w:space="0" w:color="auto"/>
            <w:left w:val="none" w:sz="0" w:space="0" w:color="auto"/>
            <w:bottom w:val="none" w:sz="0" w:space="0" w:color="auto"/>
            <w:right w:val="none" w:sz="0" w:space="0" w:color="auto"/>
          </w:divBdr>
        </w:div>
        <w:div w:id="1149203203">
          <w:marLeft w:val="547"/>
          <w:marRight w:val="0"/>
          <w:marTop w:val="115"/>
          <w:marBottom w:val="0"/>
          <w:divBdr>
            <w:top w:val="none" w:sz="0" w:space="0" w:color="auto"/>
            <w:left w:val="none" w:sz="0" w:space="0" w:color="auto"/>
            <w:bottom w:val="none" w:sz="0" w:space="0" w:color="auto"/>
            <w:right w:val="none" w:sz="0" w:space="0" w:color="auto"/>
          </w:divBdr>
        </w:div>
        <w:div w:id="1486161523">
          <w:marLeft w:val="547"/>
          <w:marRight w:val="0"/>
          <w:marTop w:val="115"/>
          <w:marBottom w:val="0"/>
          <w:divBdr>
            <w:top w:val="none" w:sz="0" w:space="0" w:color="auto"/>
            <w:left w:val="none" w:sz="0" w:space="0" w:color="auto"/>
            <w:bottom w:val="none" w:sz="0" w:space="0" w:color="auto"/>
            <w:right w:val="none" w:sz="0" w:space="0" w:color="auto"/>
          </w:divBdr>
        </w:div>
      </w:divsChild>
    </w:div>
    <w:div w:id="1708948413">
      <w:bodyDiv w:val="1"/>
      <w:marLeft w:val="0"/>
      <w:marRight w:val="0"/>
      <w:marTop w:val="0"/>
      <w:marBottom w:val="0"/>
      <w:divBdr>
        <w:top w:val="none" w:sz="0" w:space="0" w:color="auto"/>
        <w:left w:val="none" w:sz="0" w:space="0" w:color="auto"/>
        <w:bottom w:val="none" w:sz="0" w:space="0" w:color="auto"/>
        <w:right w:val="none" w:sz="0" w:space="0" w:color="auto"/>
      </w:divBdr>
      <w:divsChild>
        <w:div w:id="1264920303">
          <w:marLeft w:val="547"/>
          <w:marRight w:val="0"/>
          <w:marTop w:val="144"/>
          <w:marBottom w:val="0"/>
          <w:divBdr>
            <w:top w:val="none" w:sz="0" w:space="0" w:color="auto"/>
            <w:left w:val="none" w:sz="0" w:space="0" w:color="auto"/>
            <w:bottom w:val="none" w:sz="0" w:space="0" w:color="auto"/>
            <w:right w:val="none" w:sz="0" w:space="0" w:color="auto"/>
          </w:divBdr>
        </w:div>
        <w:div w:id="1160317148">
          <w:marLeft w:val="547"/>
          <w:marRight w:val="0"/>
          <w:marTop w:val="144"/>
          <w:marBottom w:val="0"/>
          <w:divBdr>
            <w:top w:val="none" w:sz="0" w:space="0" w:color="auto"/>
            <w:left w:val="none" w:sz="0" w:space="0" w:color="auto"/>
            <w:bottom w:val="none" w:sz="0" w:space="0" w:color="auto"/>
            <w:right w:val="none" w:sz="0" w:space="0" w:color="auto"/>
          </w:divBdr>
        </w:div>
        <w:div w:id="816338044">
          <w:marLeft w:val="547"/>
          <w:marRight w:val="0"/>
          <w:marTop w:val="144"/>
          <w:marBottom w:val="0"/>
          <w:divBdr>
            <w:top w:val="none" w:sz="0" w:space="0" w:color="auto"/>
            <w:left w:val="none" w:sz="0" w:space="0" w:color="auto"/>
            <w:bottom w:val="none" w:sz="0" w:space="0" w:color="auto"/>
            <w:right w:val="none" w:sz="0" w:space="0" w:color="auto"/>
          </w:divBdr>
        </w:div>
        <w:div w:id="1522553777">
          <w:marLeft w:val="1166"/>
          <w:marRight w:val="0"/>
          <w:marTop w:val="125"/>
          <w:marBottom w:val="0"/>
          <w:divBdr>
            <w:top w:val="none" w:sz="0" w:space="0" w:color="auto"/>
            <w:left w:val="none" w:sz="0" w:space="0" w:color="auto"/>
            <w:bottom w:val="none" w:sz="0" w:space="0" w:color="auto"/>
            <w:right w:val="none" w:sz="0" w:space="0" w:color="auto"/>
          </w:divBdr>
        </w:div>
        <w:div w:id="1573004846">
          <w:marLeft w:val="1166"/>
          <w:marRight w:val="0"/>
          <w:marTop w:val="125"/>
          <w:marBottom w:val="0"/>
          <w:divBdr>
            <w:top w:val="none" w:sz="0" w:space="0" w:color="auto"/>
            <w:left w:val="none" w:sz="0" w:space="0" w:color="auto"/>
            <w:bottom w:val="none" w:sz="0" w:space="0" w:color="auto"/>
            <w:right w:val="none" w:sz="0" w:space="0" w:color="auto"/>
          </w:divBdr>
        </w:div>
        <w:div w:id="430702820">
          <w:marLeft w:val="1166"/>
          <w:marRight w:val="0"/>
          <w:marTop w:val="125"/>
          <w:marBottom w:val="0"/>
          <w:divBdr>
            <w:top w:val="none" w:sz="0" w:space="0" w:color="auto"/>
            <w:left w:val="none" w:sz="0" w:space="0" w:color="auto"/>
            <w:bottom w:val="none" w:sz="0" w:space="0" w:color="auto"/>
            <w:right w:val="none" w:sz="0" w:space="0" w:color="auto"/>
          </w:divBdr>
        </w:div>
        <w:div w:id="757100701">
          <w:marLeft w:val="1166"/>
          <w:marRight w:val="0"/>
          <w:marTop w:val="125"/>
          <w:marBottom w:val="0"/>
          <w:divBdr>
            <w:top w:val="none" w:sz="0" w:space="0" w:color="auto"/>
            <w:left w:val="none" w:sz="0" w:space="0" w:color="auto"/>
            <w:bottom w:val="none" w:sz="0" w:space="0" w:color="auto"/>
            <w:right w:val="none" w:sz="0" w:space="0" w:color="auto"/>
          </w:divBdr>
        </w:div>
      </w:divsChild>
    </w:div>
    <w:div w:id="1732536827">
      <w:bodyDiv w:val="1"/>
      <w:marLeft w:val="0"/>
      <w:marRight w:val="0"/>
      <w:marTop w:val="0"/>
      <w:marBottom w:val="0"/>
      <w:divBdr>
        <w:top w:val="none" w:sz="0" w:space="0" w:color="auto"/>
        <w:left w:val="none" w:sz="0" w:space="0" w:color="auto"/>
        <w:bottom w:val="none" w:sz="0" w:space="0" w:color="auto"/>
        <w:right w:val="none" w:sz="0" w:space="0" w:color="auto"/>
      </w:divBdr>
    </w:div>
    <w:div w:id="17804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hmrc.org.au/Ethics%20and%20Research.htm" TargetMode="External"/><Relationship Id="rId2" Type="http://schemas.openxmlformats.org/officeDocument/2006/relationships/hyperlink" Target="http://aph.gov.au/senate/committee/clac_ctte/gene_patents_43/report/index.htm" TargetMode="External"/><Relationship Id="rId1" Type="http://schemas.openxmlformats.org/officeDocument/2006/relationships/hyperlink" Target="http://www.alrc.gov.au/publications/report-96" TargetMode="External"/><Relationship Id="rId5" Type="http://schemas.openxmlformats.org/officeDocument/2006/relationships/hyperlink" Target="http://www.ahcsa.org.au/content/research-ethics" TargetMode="External"/><Relationship Id="rId4" Type="http://schemas.openxmlformats.org/officeDocument/2006/relationships/hyperlink" Target="http://www.aboriginal.health.wa.gov.au/ethic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EF0C-8456-4DAB-825F-A4530953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4470</Words>
  <Characters>25481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estehr</cp:lastModifiedBy>
  <cp:revision>2</cp:revision>
  <dcterms:created xsi:type="dcterms:W3CDTF">2011-07-05T19:16:00Z</dcterms:created>
  <dcterms:modified xsi:type="dcterms:W3CDTF">2011-07-05T19:16:00Z</dcterms:modified>
</cp:coreProperties>
</file>